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9570B" w14:textId="77777777" w:rsidR="00042162" w:rsidRDefault="00000000">
      <w:pPr>
        <w:pBdr>
          <w:top w:val="nil"/>
          <w:left w:val="nil"/>
          <w:bottom w:val="nil"/>
          <w:right w:val="nil"/>
          <w:between w:val="nil"/>
        </w:pBdr>
        <w:rPr>
          <w:color w:val="000000"/>
          <w:sz w:val="24"/>
          <w:szCs w:val="24"/>
        </w:rPr>
      </w:pPr>
      <w:r>
        <w:rPr>
          <w:color w:val="000000"/>
          <w:sz w:val="24"/>
          <w:szCs w:val="24"/>
        </w:rPr>
        <w:t>Příjemce písemnosti:</w:t>
      </w:r>
    </w:p>
    <w:p w14:paraId="23CD03C2" w14:textId="77777777" w:rsidR="00042162" w:rsidRDefault="00042162">
      <w:pPr>
        <w:pBdr>
          <w:top w:val="nil"/>
          <w:left w:val="nil"/>
          <w:bottom w:val="nil"/>
          <w:right w:val="nil"/>
          <w:between w:val="nil"/>
        </w:pBdr>
        <w:rPr>
          <w:sz w:val="24"/>
          <w:szCs w:val="24"/>
        </w:rPr>
      </w:pPr>
    </w:p>
    <w:p w14:paraId="0B15FD40" w14:textId="77777777" w:rsidR="00042162" w:rsidRDefault="00042162">
      <w:pPr>
        <w:pBdr>
          <w:top w:val="nil"/>
          <w:left w:val="nil"/>
          <w:bottom w:val="nil"/>
          <w:right w:val="nil"/>
          <w:between w:val="nil"/>
        </w:pBdr>
        <w:rPr>
          <w:sz w:val="24"/>
          <w:szCs w:val="24"/>
        </w:rPr>
      </w:pPr>
    </w:p>
    <w:p w14:paraId="65A13692" w14:textId="77777777" w:rsidR="00042162" w:rsidRDefault="00042162">
      <w:pPr>
        <w:pBdr>
          <w:top w:val="nil"/>
          <w:left w:val="nil"/>
          <w:bottom w:val="nil"/>
          <w:right w:val="nil"/>
          <w:between w:val="nil"/>
        </w:pBdr>
        <w:rPr>
          <w:sz w:val="24"/>
          <w:szCs w:val="24"/>
        </w:rPr>
      </w:pPr>
    </w:p>
    <w:p w14:paraId="74B77353" w14:textId="77777777" w:rsidR="00042162" w:rsidRDefault="00000000">
      <w:pPr>
        <w:pBdr>
          <w:top w:val="nil"/>
          <w:left w:val="nil"/>
          <w:bottom w:val="nil"/>
          <w:right w:val="nil"/>
          <w:between w:val="nil"/>
        </w:pBdr>
        <w:rPr>
          <w:color w:val="000000"/>
          <w:sz w:val="24"/>
          <w:szCs w:val="24"/>
        </w:rPr>
      </w:pPr>
      <w:r>
        <w:rPr>
          <w:color w:val="000000"/>
          <w:sz w:val="24"/>
          <w:szCs w:val="24"/>
        </w:rPr>
        <w:t>Č.j.:</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Vaše značka:</w:t>
      </w:r>
    </w:p>
    <w:p w14:paraId="3CD033C2" w14:textId="77777777" w:rsidR="00042162" w:rsidRDefault="00000000">
      <w:pPr>
        <w:pBdr>
          <w:top w:val="nil"/>
          <w:left w:val="nil"/>
          <w:bottom w:val="nil"/>
          <w:right w:val="nil"/>
          <w:between w:val="nil"/>
        </w:pBdr>
        <w:rPr>
          <w:color w:val="000000"/>
          <w:sz w:val="24"/>
          <w:szCs w:val="24"/>
        </w:rPr>
      </w:pPr>
      <w:proofErr w:type="spellStart"/>
      <w:r>
        <w:rPr>
          <w:color w:val="000000"/>
          <w:sz w:val="24"/>
          <w:szCs w:val="24"/>
        </w:rPr>
        <w:t>Sp</w:t>
      </w:r>
      <w:proofErr w:type="spellEnd"/>
      <w:r>
        <w:rPr>
          <w:color w:val="000000"/>
          <w:sz w:val="24"/>
          <w:szCs w:val="24"/>
        </w:rPr>
        <w:t>. zn.:</w:t>
      </w:r>
      <w:r>
        <w:rPr>
          <w:color w:val="000000"/>
          <w:sz w:val="24"/>
          <w:szCs w:val="24"/>
        </w:rPr>
        <w:tab/>
      </w:r>
    </w:p>
    <w:p w14:paraId="1A5E7604" w14:textId="77777777" w:rsidR="00042162" w:rsidRDefault="00000000">
      <w:pPr>
        <w:pBdr>
          <w:top w:val="nil"/>
          <w:left w:val="nil"/>
          <w:bottom w:val="nil"/>
          <w:right w:val="nil"/>
          <w:between w:val="nil"/>
        </w:pBdr>
        <w:rPr>
          <w:color w:val="000000"/>
          <w:sz w:val="24"/>
          <w:szCs w:val="24"/>
        </w:rPr>
      </w:pPr>
      <w:r>
        <w:rPr>
          <w:color w:val="000000"/>
          <w:sz w:val="24"/>
          <w:szCs w:val="24"/>
        </w:rPr>
        <w:t>Vyřizuje: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Telefon:</w:t>
      </w:r>
    </w:p>
    <w:p w14:paraId="34E23771" w14:textId="77777777" w:rsidR="00042162" w:rsidRDefault="00000000">
      <w:pPr>
        <w:pBdr>
          <w:top w:val="nil"/>
          <w:left w:val="nil"/>
          <w:bottom w:val="nil"/>
          <w:right w:val="nil"/>
          <w:between w:val="nil"/>
        </w:pBdr>
        <w:rPr>
          <w:color w:val="000000"/>
          <w:sz w:val="24"/>
          <w:szCs w:val="24"/>
        </w:rPr>
      </w:pPr>
      <w:r>
        <w:rPr>
          <w:color w:val="000000"/>
          <w:sz w:val="24"/>
          <w:szCs w:val="24"/>
        </w:rPr>
        <w:t>E-mail: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Datum:</w:t>
      </w:r>
    </w:p>
    <w:p w14:paraId="6575C889" w14:textId="77777777" w:rsidR="00042162" w:rsidRDefault="00042162">
      <w:pPr>
        <w:rPr>
          <w:sz w:val="24"/>
          <w:szCs w:val="24"/>
        </w:rPr>
      </w:pPr>
    </w:p>
    <w:p w14:paraId="729B0B7B" w14:textId="77777777" w:rsidR="00042162" w:rsidRDefault="00042162">
      <w:pPr>
        <w:rPr>
          <w:sz w:val="24"/>
          <w:szCs w:val="24"/>
        </w:rPr>
      </w:pPr>
    </w:p>
    <w:p w14:paraId="4114541C" w14:textId="77777777" w:rsidR="00042162" w:rsidRDefault="00042162">
      <w:pPr>
        <w:rPr>
          <w:sz w:val="24"/>
          <w:szCs w:val="24"/>
        </w:rPr>
      </w:pPr>
    </w:p>
    <w:p w14:paraId="43EB9BB3" w14:textId="77777777" w:rsidR="00042162" w:rsidRDefault="00042162">
      <w:pPr>
        <w:rPr>
          <w:sz w:val="24"/>
          <w:szCs w:val="24"/>
        </w:rPr>
      </w:pPr>
    </w:p>
    <w:p w14:paraId="40C10096" w14:textId="77777777" w:rsidR="00042162" w:rsidRDefault="00000000">
      <w:pPr>
        <w:jc w:val="center"/>
        <w:rPr>
          <w:b/>
        </w:rPr>
      </w:pPr>
      <w:r>
        <w:rPr>
          <w:b/>
          <w:sz w:val="32"/>
          <w:szCs w:val="32"/>
        </w:rPr>
        <w:t>Rozhodnutí o námitce proti postupu správce daně při placení daní</w:t>
      </w:r>
    </w:p>
    <w:p w14:paraId="47405D2C" w14:textId="77777777" w:rsidR="00042162" w:rsidRDefault="00042162">
      <w:pPr>
        <w:jc w:val="center"/>
        <w:rPr>
          <w:b/>
          <w:sz w:val="24"/>
          <w:szCs w:val="24"/>
        </w:rPr>
      </w:pPr>
    </w:p>
    <w:p w14:paraId="0B43434B" w14:textId="77777777" w:rsidR="00042162" w:rsidRDefault="00042162">
      <w:pPr>
        <w:jc w:val="both"/>
      </w:pPr>
    </w:p>
    <w:p w14:paraId="2E7953B6" w14:textId="77777777" w:rsidR="00042162" w:rsidRDefault="00042162">
      <w:pPr>
        <w:jc w:val="both"/>
      </w:pPr>
    </w:p>
    <w:p w14:paraId="7F8D412F" w14:textId="77777777" w:rsidR="00042162" w:rsidRDefault="00000000">
      <w:pPr>
        <w:jc w:val="both"/>
        <w:rPr>
          <w:sz w:val="24"/>
          <w:szCs w:val="24"/>
        </w:rPr>
      </w:pPr>
      <w:r>
        <w:rPr>
          <w:sz w:val="24"/>
          <w:szCs w:val="24"/>
        </w:rPr>
        <w:t xml:space="preserve">Obecní (Městský) úřad ……………… jako správce daně (dále jen jako „správce daně“) posoudil námitku výše uvedeného daňového subjektu </w:t>
      </w:r>
      <w:r>
        <w:rPr>
          <w:i/>
          <w:color w:val="4A86E8"/>
          <w:sz w:val="24"/>
          <w:szCs w:val="24"/>
        </w:rPr>
        <w:t>(případně jiné osoby, jíž se namítaný úkon týká)</w:t>
      </w:r>
      <w:r>
        <w:rPr>
          <w:sz w:val="24"/>
          <w:szCs w:val="24"/>
        </w:rPr>
        <w:t xml:space="preserve"> uplatněnou u správce daně dne …… proti úkonu </w:t>
      </w:r>
      <w:r>
        <w:rPr>
          <w:i/>
          <w:color w:val="4A86E8"/>
          <w:sz w:val="24"/>
          <w:szCs w:val="24"/>
        </w:rPr>
        <w:t>(exekučnímu příkazu)</w:t>
      </w:r>
      <w:r>
        <w:rPr>
          <w:sz w:val="24"/>
          <w:szCs w:val="24"/>
        </w:rPr>
        <w:t xml:space="preserve"> správce daně spočívající v ………………………………………………………………………………………………………</w:t>
      </w:r>
      <w:proofErr w:type="gramStart"/>
      <w:r>
        <w:rPr>
          <w:sz w:val="24"/>
          <w:szCs w:val="24"/>
        </w:rPr>
        <w:t>…….</w:t>
      </w:r>
      <w:proofErr w:type="gramEnd"/>
      <w:r>
        <w:rPr>
          <w:sz w:val="24"/>
          <w:szCs w:val="24"/>
        </w:rPr>
        <w:t>.</w:t>
      </w:r>
    </w:p>
    <w:p w14:paraId="690AA0A2" w14:textId="77777777" w:rsidR="00042162" w:rsidRDefault="00000000">
      <w:pPr>
        <w:jc w:val="both"/>
        <w:rPr>
          <w:sz w:val="24"/>
          <w:szCs w:val="24"/>
        </w:rPr>
      </w:pPr>
      <w:r>
        <w:rPr>
          <w:sz w:val="24"/>
          <w:szCs w:val="24"/>
        </w:rPr>
        <w:t xml:space="preserve">a v souladu s § 159 odst. 3 zákona č. 280/2009 Sb., daňový řád (dále jen “daňový řád”), a rozhodl takto: námitka se </w:t>
      </w:r>
    </w:p>
    <w:p w14:paraId="57C14ABB" w14:textId="77777777" w:rsidR="00042162" w:rsidRDefault="00042162">
      <w:pPr>
        <w:jc w:val="both"/>
        <w:rPr>
          <w:sz w:val="24"/>
          <w:szCs w:val="24"/>
        </w:rPr>
      </w:pPr>
    </w:p>
    <w:p w14:paraId="2D5CC6A5" w14:textId="77777777" w:rsidR="00042162" w:rsidRDefault="00000000">
      <w:pPr>
        <w:jc w:val="center"/>
        <w:rPr>
          <w:b/>
          <w:sz w:val="24"/>
          <w:szCs w:val="24"/>
        </w:rPr>
      </w:pPr>
      <w:r>
        <w:rPr>
          <w:b/>
          <w:sz w:val="24"/>
          <w:szCs w:val="24"/>
        </w:rPr>
        <w:t xml:space="preserve">Z A M Í T Á </w:t>
      </w:r>
    </w:p>
    <w:p w14:paraId="5B3D7232" w14:textId="77777777" w:rsidR="00042162" w:rsidRDefault="00000000">
      <w:pPr>
        <w:jc w:val="both"/>
        <w:rPr>
          <w:sz w:val="24"/>
          <w:szCs w:val="24"/>
        </w:rPr>
      </w:pPr>
      <w:r>
        <w:rPr>
          <w:i/>
          <w:color w:val="4A86E8"/>
          <w:sz w:val="24"/>
          <w:szCs w:val="24"/>
        </w:rPr>
        <w:t>(Případně: námitce se vyhovuje zcela/zčásti)</w:t>
      </w:r>
      <w:r>
        <w:rPr>
          <w:sz w:val="24"/>
          <w:szCs w:val="24"/>
        </w:rPr>
        <w:t xml:space="preserve"> </w:t>
      </w:r>
    </w:p>
    <w:p w14:paraId="5F52C23A" w14:textId="77777777" w:rsidR="00042162" w:rsidRDefault="00042162">
      <w:pPr>
        <w:jc w:val="both"/>
        <w:rPr>
          <w:sz w:val="24"/>
          <w:szCs w:val="24"/>
        </w:rPr>
      </w:pPr>
    </w:p>
    <w:p w14:paraId="04F211A7" w14:textId="77777777" w:rsidR="00042162" w:rsidRDefault="00042162">
      <w:pPr>
        <w:jc w:val="both"/>
      </w:pPr>
    </w:p>
    <w:p w14:paraId="559BDA54" w14:textId="77777777" w:rsidR="00042162" w:rsidRDefault="00000000">
      <w:pPr>
        <w:jc w:val="center"/>
        <w:rPr>
          <w:b/>
        </w:rPr>
      </w:pPr>
      <w:r>
        <w:rPr>
          <w:b/>
          <w:sz w:val="24"/>
          <w:szCs w:val="24"/>
        </w:rPr>
        <w:t>Odůvodnění</w:t>
      </w:r>
    </w:p>
    <w:p w14:paraId="5713BE3A" w14:textId="77777777" w:rsidR="00042162" w:rsidRDefault="00042162">
      <w:pPr>
        <w:jc w:val="both"/>
      </w:pPr>
    </w:p>
    <w:p w14:paraId="2B759E9F" w14:textId="77777777" w:rsidR="00042162" w:rsidRDefault="00000000">
      <w:pPr>
        <w:spacing w:before="240" w:after="240"/>
        <w:jc w:val="both"/>
        <w:rPr>
          <w:i/>
          <w:color w:val="4A86E8"/>
          <w:sz w:val="24"/>
          <w:szCs w:val="24"/>
        </w:rPr>
      </w:pPr>
      <w:r>
        <w:rPr>
          <w:sz w:val="24"/>
          <w:szCs w:val="24"/>
        </w:rPr>
        <w:t>Podstatou uplatněné námitky výše uvedeným daňovým subjektem (jiná osoba) je skutečnost, že ……………</w:t>
      </w:r>
      <w:proofErr w:type="gramStart"/>
      <w:r>
        <w:rPr>
          <w:sz w:val="24"/>
          <w:szCs w:val="24"/>
        </w:rPr>
        <w:t>…….</w:t>
      </w:r>
      <w:proofErr w:type="gramEnd"/>
      <w:r>
        <w:rPr>
          <w:i/>
          <w:color w:val="4A86E8"/>
          <w:sz w:val="24"/>
          <w:szCs w:val="24"/>
        </w:rPr>
        <w:t>(vypsat konkrétní skutečnosti, které uvádí daňový subjekt a zdůvodnit proč správce daně rozhodl tak, jak je uvedeno ve výroku rozhodnutí).</w:t>
      </w:r>
    </w:p>
    <w:p w14:paraId="5A5314A6" w14:textId="77777777" w:rsidR="00042162" w:rsidRDefault="00042162">
      <w:pPr>
        <w:jc w:val="both"/>
        <w:rPr>
          <w:sz w:val="24"/>
          <w:szCs w:val="24"/>
        </w:rPr>
      </w:pPr>
    </w:p>
    <w:p w14:paraId="404C0ACF" w14:textId="77777777" w:rsidR="00042162" w:rsidRDefault="00000000">
      <w:pPr>
        <w:jc w:val="center"/>
        <w:rPr>
          <w:sz w:val="24"/>
          <w:szCs w:val="24"/>
        </w:rPr>
      </w:pPr>
      <w:r>
        <w:rPr>
          <w:b/>
          <w:sz w:val="24"/>
          <w:szCs w:val="24"/>
        </w:rPr>
        <w:t>Poučení</w:t>
      </w:r>
      <w:r>
        <w:rPr>
          <w:sz w:val="24"/>
          <w:szCs w:val="24"/>
        </w:rPr>
        <w:t>.</w:t>
      </w:r>
    </w:p>
    <w:p w14:paraId="40476D42" w14:textId="77777777" w:rsidR="00042162" w:rsidRDefault="00042162">
      <w:pPr>
        <w:jc w:val="both"/>
        <w:rPr>
          <w:sz w:val="24"/>
          <w:szCs w:val="24"/>
        </w:rPr>
      </w:pPr>
    </w:p>
    <w:p w14:paraId="0F375073" w14:textId="77777777" w:rsidR="00042162" w:rsidRDefault="00000000">
      <w:pPr>
        <w:jc w:val="both"/>
      </w:pPr>
      <w:r>
        <w:rPr>
          <w:sz w:val="24"/>
          <w:szCs w:val="24"/>
        </w:rPr>
        <w:t>Úřední osoby a osoby zúčastněné na správě daní jsou vázány povinností mlčenlivost o tom, co se při správě daní dozvěděly o poměrech jiných osob. To neplatí pro daňový (poplatkový) subjekt, pokud jde o informace získané nebo použité při správě jeho daní (§ 52 odst. 1 daňového řádu). Fyzická osoba, která je vázána povinností mlčenlivosti za podmínek stanovených daňovým zákonem, se dopustí přestupku, pokud tuto povinnost poruší.</w:t>
      </w:r>
    </w:p>
    <w:p w14:paraId="58160C97" w14:textId="77777777" w:rsidR="00042162" w:rsidRDefault="00042162">
      <w:pPr>
        <w:jc w:val="both"/>
        <w:rPr>
          <w:sz w:val="24"/>
          <w:szCs w:val="24"/>
        </w:rPr>
      </w:pPr>
    </w:p>
    <w:p w14:paraId="60EDDB43" w14:textId="77777777" w:rsidR="00042162" w:rsidRDefault="00000000">
      <w:pPr>
        <w:jc w:val="both"/>
      </w:pPr>
      <w:r>
        <w:rPr>
          <w:sz w:val="24"/>
          <w:szCs w:val="24"/>
        </w:rPr>
        <w:t xml:space="preserve">Za přestupek lze uložit pokutu do 500 000 Kč (§ 246 odst. 1 a 2 daňového řádu). Zpracování osobních údajů se řídí </w:t>
      </w:r>
      <w:proofErr w:type="spellStart"/>
      <w:r>
        <w:rPr>
          <w:sz w:val="24"/>
          <w:szCs w:val="24"/>
        </w:rPr>
        <w:t>ust</w:t>
      </w:r>
      <w:proofErr w:type="spellEnd"/>
      <w:r>
        <w:rPr>
          <w:sz w:val="24"/>
          <w:szCs w:val="24"/>
        </w:rPr>
        <w:t>. § 59a daňového řádu a ostatní informace o zpracování osobních údajů jsou dostupné na adrese: www………</w:t>
      </w:r>
      <w:proofErr w:type="gramStart"/>
      <w:r>
        <w:rPr>
          <w:sz w:val="24"/>
          <w:szCs w:val="24"/>
        </w:rPr>
        <w:t>…….</w:t>
      </w:r>
      <w:proofErr w:type="gramEnd"/>
      <w:r>
        <w:rPr>
          <w:sz w:val="24"/>
          <w:szCs w:val="24"/>
        </w:rPr>
        <w:t>.</w:t>
      </w:r>
    </w:p>
    <w:p w14:paraId="20019473" w14:textId="77777777" w:rsidR="00042162" w:rsidRDefault="00042162">
      <w:pPr>
        <w:jc w:val="both"/>
      </w:pPr>
    </w:p>
    <w:p w14:paraId="77A8C3F6" w14:textId="77777777" w:rsidR="00042162" w:rsidRDefault="00000000">
      <w:pPr>
        <w:jc w:val="both"/>
        <w:rPr>
          <w:sz w:val="24"/>
          <w:szCs w:val="24"/>
        </w:rPr>
      </w:pPr>
      <w:r>
        <w:rPr>
          <w:sz w:val="24"/>
          <w:szCs w:val="24"/>
        </w:rPr>
        <w:t>Pořádkovou pokutu do 500 000 Kč může správce poplatku uložit tomu, kdo závažně ztěžuje nebo maří správu daní tím, že bez dostatečné omluvy nevyhoví ve stanovené lhůtě výzvě ke splnění procesní povinnosti nepeněžité povahy, která mu byla stanovena zákonem nebo správcem poplatku, nestanoví-li zákon jiný důsledek (§ 247 odst. 2).</w:t>
      </w:r>
    </w:p>
    <w:p w14:paraId="20729973" w14:textId="77777777" w:rsidR="00042162" w:rsidRDefault="00042162">
      <w:pPr>
        <w:jc w:val="both"/>
        <w:rPr>
          <w:sz w:val="24"/>
          <w:szCs w:val="24"/>
        </w:rPr>
      </w:pPr>
    </w:p>
    <w:p w14:paraId="6775859A" w14:textId="77777777" w:rsidR="00042162" w:rsidRDefault="00000000">
      <w:pPr>
        <w:jc w:val="both"/>
        <w:rPr>
          <w:sz w:val="24"/>
          <w:szCs w:val="24"/>
        </w:rPr>
      </w:pPr>
      <w:r>
        <w:rPr>
          <w:sz w:val="24"/>
          <w:szCs w:val="24"/>
        </w:rPr>
        <w:t xml:space="preserve">Správce poplatku je podle </w:t>
      </w:r>
      <w:proofErr w:type="spellStart"/>
      <w:r>
        <w:rPr>
          <w:sz w:val="24"/>
          <w:szCs w:val="24"/>
        </w:rPr>
        <w:t>ust</w:t>
      </w:r>
      <w:proofErr w:type="spellEnd"/>
      <w:r>
        <w:rPr>
          <w:sz w:val="24"/>
          <w:szCs w:val="24"/>
        </w:rPr>
        <w:t>. § 247a odst. 1 písm. a) daňového řádu oprávněn uložit pokutu tomu, kdo nesplní registrační, ohlašovací nebo jinou oznamovací povinnost, stanovenou daňovým zákonem nebo správcem poplatku.</w:t>
      </w:r>
    </w:p>
    <w:p w14:paraId="229340F6" w14:textId="77777777" w:rsidR="00042162" w:rsidRDefault="00042162">
      <w:pPr>
        <w:jc w:val="both"/>
      </w:pPr>
    </w:p>
    <w:p w14:paraId="062FD2F2" w14:textId="77777777" w:rsidR="00042162" w:rsidRDefault="00042162">
      <w:pPr>
        <w:jc w:val="both"/>
      </w:pPr>
    </w:p>
    <w:p w14:paraId="73BC3C84" w14:textId="4FE1B5CB" w:rsidR="00042162" w:rsidRDefault="00000000">
      <w:pPr>
        <w:jc w:val="both"/>
        <w:rPr>
          <w:b/>
          <w:sz w:val="24"/>
          <w:szCs w:val="24"/>
        </w:rPr>
      </w:pPr>
      <w:r>
        <w:rPr>
          <w:b/>
          <w:sz w:val="24"/>
          <w:szCs w:val="24"/>
        </w:rPr>
        <w:lastRenderedPageBreak/>
        <w:t xml:space="preserve">V souladu s </w:t>
      </w:r>
      <w:proofErr w:type="spellStart"/>
      <w:r>
        <w:rPr>
          <w:b/>
          <w:sz w:val="24"/>
          <w:szCs w:val="24"/>
        </w:rPr>
        <w:t>ust</w:t>
      </w:r>
      <w:proofErr w:type="spellEnd"/>
      <w:r>
        <w:rPr>
          <w:b/>
          <w:sz w:val="24"/>
          <w:szCs w:val="24"/>
        </w:rPr>
        <w:t>. § 159 odst. 4 daňového řádu nelze proti tomuto rozhodnutí uplatnit opravné prostředky</w:t>
      </w:r>
      <w:r w:rsidR="001A6F6E">
        <w:rPr>
          <w:b/>
          <w:sz w:val="24"/>
          <w:szCs w:val="24"/>
        </w:rPr>
        <w:t xml:space="preserve"> ani další námitku</w:t>
      </w:r>
      <w:r>
        <w:rPr>
          <w:b/>
          <w:sz w:val="24"/>
          <w:szCs w:val="24"/>
        </w:rPr>
        <w:t>.</w:t>
      </w:r>
    </w:p>
    <w:p w14:paraId="176A9369" w14:textId="77777777" w:rsidR="00042162" w:rsidRDefault="00042162">
      <w:pPr>
        <w:jc w:val="both"/>
      </w:pPr>
    </w:p>
    <w:p w14:paraId="6EA5D592" w14:textId="77777777" w:rsidR="00042162" w:rsidRDefault="00042162">
      <w:pPr>
        <w:jc w:val="both"/>
      </w:pPr>
    </w:p>
    <w:p w14:paraId="6AFF253E" w14:textId="77777777" w:rsidR="00042162" w:rsidRDefault="00042162">
      <w:pPr>
        <w:jc w:val="both"/>
      </w:pPr>
    </w:p>
    <w:p w14:paraId="5944A83E" w14:textId="77777777" w:rsidR="00042162" w:rsidRDefault="00042162">
      <w:pPr>
        <w:jc w:val="both"/>
      </w:pPr>
    </w:p>
    <w:p w14:paraId="39F741F1" w14:textId="77777777" w:rsidR="00042162" w:rsidRDefault="00000000">
      <w:pPr>
        <w:jc w:val="both"/>
        <w:rPr>
          <w:b/>
          <w:sz w:val="24"/>
          <w:szCs w:val="24"/>
        </w:rPr>
      </w:pPr>
      <w:r>
        <w:rPr>
          <w:noProof/>
        </w:rPr>
        <mc:AlternateContent>
          <mc:Choice Requires="wpg">
            <w:drawing>
              <wp:anchor distT="0" distB="0" distL="114300" distR="114300" simplePos="0" relativeHeight="251658240" behindDoc="0" locked="0" layoutInCell="1" hidden="0" allowOverlap="1" wp14:anchorId="72EA332D" wp14:editId="1DBA3598">
                <wp:simplePos x="0" y="0"/>
                <wp:positionH relativeFrom="column">
                  <wp:posOffset>2374900</wp:posOffset>
                </wp:positionH>
                <wp:positionV relativeFrom="paragraph">
                  <wp:posOffset>228600</wp:posOffset>
                </wp:positionV>
                <wp:extent cx="1047750" cy="1047750"/>
                <wp:effectExtent l="0" t="0" r="0" b="0"/>
                <wp:wrapNone/>
                <wp:docPr id="1" name="Ovál 1"/>
                <wp:cNvGraphicFramePr/>
                <a:graphic xmlns:a="http://schemas.openxmlformats.org/drawingml/2006/main">
                  <a:graphicData uri="http://schemas.microsoft.com/office/word/2010/wordprocessingShape">
                    <wps:wsp>
                      <wps:cNvSpPr/>
                      <wps:spPr>
                        <a:xfrm>
                          <a:off x="4831650" y="3265650"/>
                          <a:ext cx="1028700" cy="1028700"/>
                        </a:xfrm>
                        <a:prstGeom prst="ellipse">
                          <a:avLst/>
                        </a:prstGeom>
                        <a:solidFill>
                          <a:srgbClr val="FFFFFF"/>
                        </a:solidFill>
                        <a:ln w="9525" cap="flat" cmpd="sng">
                          <a:solidFill>
                            <a:srgbClr val="000000"/>
                          </a:solidFill>
                          <a:prstDash val="dash"/>
                          <a:round/>
                          <a:headEnd type="none" w="sm" len="sm"/>
                          <a:tailEnd type="none" w="sm" len="sm"/>
                        </a:ln>
                      </wps:spPr>
                      <wps:txbx>
                        <w:txbxContent>
                          <w:p w14:paraId="7E6BD7F1" w14:textId="77777777" w:rsidR="00042162" w:rsidRDefault="00000000">
                            <w:pPr>
                              <w:jc w:val="center"/>
                              <w:textDirection w:val="btLr"/>
                            </w:pPr>
                            <w:r>
                              <w:rPr>
                                <w:rFonts w:ascii="Calibri" w:eastAsia="Calibri" w:hAnsi="Calibri" w:cs="Calibri"/>
                                <w:color w:val="000000"/>
                                <w:sz w:val="22"/>
                              </w:rPr>
                              <w:t>otisk</w:t>
                            </w:r>
                          </w:p>
                          <w:p w14:paraId="0A4840A0" w14:textId="77777777" w:rsidR="00042162" w:rsidRDefault="00000000">
                            <w:pPr>
                              <w:jc w:val="center"/>
                              <w:textDirection w:val="btLr"/>
                            </w:pPr>
                            <w:r>
                              <w:rPr>
                                <w:rFonts w:ascii="Calibri" w:eastAsia="Calibri" w:hAnsi="Calibri" w:cs="Calibri"/>
                                <w:color w:val="000000"/>
                                <w:sz w:val="22"/>
                              </w:rPr>
                              <w:t>úředního</w:t>
                            </w:r>
                          </w:p>
                          <w:p w14:paraId="10E3E836" w14:textId="77777777" w:rsidR="00042162" w:rsidRDefault="00000000">
                            <w:pPr>
                              <w:jc w:val="center"/>
                              <w:textDirection w:val="btLr"/>
                            </w:pPr>
                            <w:r>
                              <w:rPr>
                                <w:rFonts w:ascii="Calibri" w:eastAsia="Calibri" w:hAnsi="Calibri" w:cs="Calibri"/>
                                <w:color w:val="000000"/>
                                <w:sz w:val="22"/>
                              </w:rPr>
                              <w:t>razítka</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228600</wp:posOffset>
                </wp:positionV>
                <wp:extent cx="1047750" cy="10477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47750" cy="1047750"/>
                        </a:xfrm>
                        <a:prstGeom prst="rect"/>
                        <a:ln/>
                      </pic:spPr>
                    </pic:pic>
                  </a:graphicData>
                </a:graphic>
              </wp:anchor>
            </w:drawing>
          </mc:Fallback>
        </mc:AlternateContent>
      </w:r>
    </w:p>
    <w:p w14:paraId="5DA99836" w14:textId="77777777" w:rsidR="00042162" w:rsidRDefault="00042162">
      <w:pPr>
        <w:jc w:val="both"/>
        <w:rPr>
          <w:sz w:val="24"/>
          <w:szCs w:val="24"/>
        </w:rPr>
      </w:pPr>
    </w:p>
    <w:p w14:paraId="4E412B67" w14:textId="77777777" w:rsidR="00042162" w:rsidRDefault="00042162">
      <w:pPr>
        <w:jc w:val="both"/>
        <w:rPr>
          <w:sz w:val="24"/>
          <w:szCs w:val="24"/>
        </w:rPr>
      </w:pPr>
    </w:p>
    <w:p w14:paraId="352AFBD0" w14:textId="77777777" w:rsidR="00042162" w:rsidRDefault="00042162">
      <w:pPr>
        <w:jc w:val="both"/>
        <w:rPr>
          <w:sz w:val="24"/>
          <w:szCs w:val="24"/>
        </w:rPr>
      </w:pPr>
    </w:p>
    <w:p w14:paraId="4D0B3BE5" w14:textId="77777777" w:rsidR="00042162" w:rsidRDefault="00042162">
      <w:pPr>
        <w:jc w:val="both"/>
        <w:rPr>
          <w:sz w:val="24"/>
          <w:szCs w:val="24"/>
        </w:rPr>
      </w:pPr>
    </w:p>
    <w:p w14:paraId="43059828" w14:textId="77777777" w:rsidR="00042162" w:rsidRDefault="00042162">
      <w:pPr>
        <w:jc w:val="both"/>
        <w:rPr>
          <w:sz w:val="24"/>
          <w:szCs w:val="24"/>
        </w:rPr>
      </w:pPr>
    </w:p>
    <w:p w14:paraId="48AB19D0" w14:textId="77777777" w:rsidR="00042162" w:rsidRDefault="00042162">
      <w:pPr>
        <w:jc w:val="both"/>
        <w:rPr>
          <w:sz w:val="24"/>
          <w:szCs w:val="24"/>
        </w:rPr>
      </w:pPr>
    </w:p>
    <w:p w14:paraId="670A0DE3" w14:textId="77777777" w:rsidR="00042162" w:rsidRDefault="00042162">
      <w:pPr>
        <w:jc w:val="both"/>
        <w:rPr>
          <w:sz w:val="24"/>
          <w:szCs w:val="24"/>
        </w:rPr>
      </w:pPr>
    </w:p>
    <w:p w14:paraId="07C3A8B1" w14:textId="77777777" w:rsidR="00042162" w:rsidRDefault="00042162">
      <w:pPr>
        <w:jc w:val="both"/>
        <w:rPr>
          <w:sz w:val="24"/>
          <w:szCs w:val="24"/>
        </w:rPr>
      </w:pPr>
    </w:p>
    <w:p w14:paraId="782B3F00" w14:textId="77777777" w:rsidR="00042162" w:rsidRDefault="00000000">
      <w:pPr>
        <w:jc w:val="both"/>
        <w:rPr>
          <w:sz w:val="24"/>
          <w:szCs w:val="24"/>
        </w:rPr>
      </w:pPr>
      <w:r>
        <w:rPr>
          <w:sz w:val="24"/>
          <w:szCs w:val="24"/>
        </w:rPr>
        <w:t>…………………………………………………..</w:t>
      </w:r>
    </w:p>
    <w:p w14:paraId="2E1CE5C0" w14:textId="77777777" w:rsidR="00042162" w:rsidRDefault="00000000">
      <w:pPr>
        <w:jc w:val="both"/>
        <w:rPr>
          <w:sz w:val="24"/>
          <w:szCs w:val="24"/>
        </w:rPr>
      </w:pPr>
      <w:r>
        <w:rPr>
          <w:sz w:val="24"/>
          <w:szCs w:val="24"/>
        </w:rPr>
        <w:t>Podpis úřední osoby s uvedením</w:t>
      </w:r>
    </w:p>
    <w:p w14:paraId="25A6CF3E" w14:textId="77777777" w:rsidR="00042162" w:rsidRDefault="00000000">
      <w:pPr>
        <w:jc w:val="both"/>
        <w:rPr>
          <w:sz w:val="24"/>
          <w:szCs w:val="24"/>
        </w:rPr>
      </w:pPr>
      <w:r>
        <w:rPr>
          <w:sz w:val="24"/>
          <w:szCs w:val="24"/>
        </w:rPr>
        <w:t xml:space="preserve">jména a pracovního zařazení </w:t>
      </w:r>
    </w:p>
    <w:p w14:paraId="0B6944DC" w14:textId="77777777" w:rsidR="00042162" w:rsidRDefault="00042162">
      <w:pPr>
        <w:jc w:val="both"/>
        <w:rPr>
          <w:sz w:val="24"/>
          <w:szCs w:val="24"/>
        </w:rPr>
      </w:pPr>
    </w:p>
    <w:p w14:paraId="60835C66" w14:textId="77777777" w:rsidR="00042162" w:rsidRDefault="00042162">
      <w:pPr>
        <w:jc w:val="both"/>
        <w:rPr>
          <w:sz w:val="24"/>
          <w:szCs w:val="24"/>
        </w:rPr>
      </w:pPr>
    </w:p>
    <w:p w14:paraId="2A7CA2E7" w14:textId="77777777" w:rsidR="00042162" w:rsidRDefault="00042162">
      <w:pPr>
        <w:jc w:val="both"/>
        <w:rPr>
          <w:sz w:val="24"/>
          <w:szCs w:val="24"/>
        </w:rPr>
      </w:pPr>
    </w:p>
    <w:p w14:paraId="0A823656" w14:textId="77777777" w:rsidR="00042162" w:rsidRDefault="00042162">
      <w:pPr>
        <w:jc w:val="both"/>
        <w:rPr>
          <w:sz w:val="24"/>
          <w:szCs w:val="24"/>
        </w:rPr>
      </w:pPr>
    </w:p>
    <w:p w14:paraId="406B407B" w14:textId="77777777" w:rsidR="00042162" w:rsidRDefault="00042162">
      <w:pPr>
        <w:widowControl w:val="0"/>
        <w:pBdr>
          <w:top w:val="nil"/>
          <w:left w:val="nil"/>
          <w:bottom w:val="nil"/>
          <w:right w:val="nil"/>
          <w:between w:val="nil"/>
        </w:pBdr>
        <w:tabs>
          <w:tab w:val="left" w:pos="680"/>
          <w:tab w:val="left" w:pos="5400"/>
        </w:tabs>
        <w:jc w:val="both"/>
        <w:rPr>
          <w:color w:val="000000"/>
          <w:sz w:val="24"/>
          <w:szCs w:val="24"/>
        </w:rPr>
      </w:pPr>
    </w:p>
    <w:p w14:paraId="6D959435" w14:textId="77777777" w:rsidR="00042162" w:rsidRDefault="00042162">
      <w:pPr>
        <w:jc w:val="both"/>
        <w:rPr>
          <w:sz w:val="24"/>
          <w:szCs w:val="24"/>
        </w:rPr>
      </w:pPr>
    </w:p>
    <w:p w14:paraId="1E63BA2E" w14:textId="77777777" w:rsidR="00042162" w:rsidRDefault="00042162">
      <w:pPr>
        <w:jc w:val="both"/>
      </w:pPr>
    </w:p>
    <w:sectPr w:rsidR="00042162">
      <w:pgSz w:w="11909" w:h="16834"/>
      <w:pgMar w:top="568" w:right="710" w:bottom="720"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62"/>
    <w:rsid w:val="00042162"/>
    <w:rsid w:val="001A6F6E"/>
    <w:rsid w:val="00E95E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ACDC"/>
  <w15:docId w15:val="{12F56994-0F16-43BD-AF37-AC08E41A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spacing w:before="480"/>
      <w:outlineLvl w:val="0"/>
    </w:pPr>
    <w:rPr>
      <w:b/>
      <w:color w:val="345A8A"/>
      <w:sz w:val="32"/>
      <w:szCs w:val="32"/>
    </w:rPr>
  </w:style>
  <w:style w:type="paragraph" w:styleId="Nadpis2">
    <w:name w:val="heading 2"/>
    <w:basedOn w:val="Normln"/>
    <w:next w:val="Normln"/>
    <w:uiPriority w:val="9"/>
    <w:semiHidden/>
    <w:unhideWhenUsed/>
    <w:qFormat/>
    <w:pPr>
      <w:spacing w:before="200"/>
      <w:outlineLvl w:val="1"/>
    </w:pPr>
    <w:rPr>
      <w:b/>
      <w:color w:val="4F81BD"/>
      <w:sz w:val="26"/>
      <w:szCs w:val="26"/>
    </w:rPr>
  </w:style>
  <w:style w:type="paragraph" w:styleId="Nadpis3">
    <w:name w:val="heading 3"/>
    <w:basedOn w:val="Normln"/>
    <w:next w:val="Normln"/>
    <w:uiPriority w:val="9"/>
    <w:semiHidden/>
    <w:unhideWhenUsed/>
    <w:qFormat/>
    <w:pPr>
      <w:spacing w:before="200"/>
      <w:outlineLvl w:val="2"/>
    </w:pPr>
    <w:rPr>
      <w:b/>
      <w:color w:val="4F81BD"/>
      <w:sz w:val="24"/>
      <w:szCs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after="300"/>
    </w:pPr>
    <w:rPr>
      <w:color w:val="17365D"/>
      <w:sz w:val="52"/>
      <w:szCs w:val="52"/>
    </w:rPr>
  </w:style>
  <w:style w:type="paragraph" w:styleId="Podnadpis">
    <w:name w:val="Subtitle"/>
    <w:basedOn w:val="Normln"/>
    <w:next w:val="Normln"/>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DF6comsVeY3CCbsq+HYLiNHJg==">CgMxLjA4AHIhMVBVMzF6NVYyM1g2VjZqMGFRUTJEMVM2dDhWYXJGanZJ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2016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Vlastimil Veselý</cp:lastModifiedBy>
  <cp:revision>2</cp:revision>
  <dcterms:created xsi:type="dcterms:W3CDTF">2025-07-01T09:05:00Z</dcterms:created>
  <dcterms:modified xsi:type="dcterms:W3CDTF">2025-07-01T09:05:00Z</dcterms:modified>
</cp:coreProperties>
</file>