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FF518" w14:textId="77777777" w:rsidR="00852440" w:rsidRDefault="00852440">
      <w:pPr>
        <w:spacing w:after="0" w:line="240" w:lineRule="auto"/>
        <w:rPr>
          <w:rFonts w:ascii="Times New Roman" w:eastAsia="Times New Roman" w:hAnsi="Times New Roman" w:cs="Times New Roman"/>
          <w:color w:val="000000"/>
          <w:sz w:val="24"/>
          <w:szCs w:val="24"/>
        </w:rPr>
      </w:pPr>
    </w:p>
    <w:p w14:paraId="268A6B18" w14:textId="77777777" w:rsidR="00852440" w:rsidRDefault="00000000">
      <w:pPr>
        <w:spacing w:after="0"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POZOR – zákonná povinnost doručit exekuční příkaz nejprve poddlužníkovi (§ 191 odst. 1 daňového řádu).</w:t>
      </w:r>
    </w:p>
    <w:p w14:paraId="273B353D" w14:textId="77777777" w:rsidR="00852440" w:rsidRDefault="00852440">
      <w:pPr>
        <w:spacing w:after="0" w:line="240" w:lineRule="auto"/>
        <w:rPr>
          <w:rFonts w:ascii="Times New Roman" w:eastAsia="Times New Roman" w:hAnsi="Times New Roman" w:cs="Times New Roman"/>
          <w:color w:val="000000"/>
          <w:sz w:val="24"/>
          <w:szCs w:val="24"/>
        </w:rPr>
      </w:pPr>
    </w:p>
    <w:p w14:paraId="25761D82" w14:textId="77777777" w:rsidR="00852440" w:rsidRDefault="00852440">
      <w:pPr>
        <w:tabs>
          <w:tab w:val="left" w:pos="4536"/>
        </w:tabs>
        <w:spacing w:after="0" w:line="240" w:lineRule="auto"/>
        <w:rPr>
          <w:rFonts w:ascii="Times New Roman" w:eastAsia="Times New Roman" w:hAnsi="Times New Roman" w:cs="Times New Roman"/>
          <w:color w:val="000000"/>
          <w:sz w:val="24"/>
          <w:szCs w:val="24"/>
        </w:rPr>
      </w:pPr>
    </w:p>
    <w:p w14:paraId="3F56CE7B" w14:textId="77777777" w:rsidR="00852440" w:rsidRDefault="00000000">
      <w:pPr>
        <w:tabs>
          <w:tab w:val="left" w:pos="453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Příjemci rozhodnutí:</w:t>
      </w:r>
      <w:r>
        <w:rPr>
          <w:rFonts w:ascii="Times New Roman" w:eastAsia="Times New Roman" w:hAnsi="Times New Roman" w:cs="Times New Roman"/>
          <w:color w:val="000000"/>
          <w:sz w:val="24"/>
          <w:szCs w:val="24"/>
        </w:rPr>
        <w:tab/>
      </w:r>
    </w:p>
    <w:p w14:paraId="003C1EC0" w14:textId="77777777" w:rsidR="00852440" w:rsidRDefault="00852440">
      <w:pPr>
        <w:tabs>
          <w:tab w:val="left" w:pos="4820"/>
        </w:tabs>
        <w:spacing w:after="0" w:line="240" w:lineRule="auto"/>
        <w:rPr>
          <w:rFonts w:ascii="Times New Roman" w:eastAsia="Times New Roman" w:hAnsi="Times New Roman" w:cs="Times New Roman"/>
          <w:b/>
          <w:color w:val="000000"/>
          <w:sz w:val="24"/>
          <w:szCs w:val="24"/>
        </w:rPr>
      </w:pPr>
    </w:p>
    <w:p w14:paraId="1D746BF7" w14:textId="51988D76" w:rsidR="00852440" w:rsidRDefault="00000000">
      <w:pPr>
        <w:tabs>
          <w:tab w:val="left" w:pos="482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Dlužník</w:t>
      </w:r>
      <w:r w:rsidR="001229C9">
        <w:rPr>
          <w:rFonts w:ascii="Times New Roman" w:eastAsia="Times New Roman" w:hAnsi="Times New Roman" w:cs="Times New Roman"/>
          <w:b/>
          <w:color w:val="000000"/>
          <w:sz w:val="24"/>
          <w:szCs w:val="24"/>
        </w:rPr>
        <w:t xml:space="preserve"> (povinný)</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sz w:val="24"/>
          <w:szCs w:val="24"/>
        </w:rPr>
        <w:t>jméno a příjmení</w:t>
      </w:r>
    </w:p>
    <w:p w14:paraId="165EAFC3" w14:textId="77777777" w:rsidR="00852440" w:rsidRDefault="00000000">
      <w:pPr>
        <w:tabs>
          <w:tab w:val="left" w:pos="482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sz w:val="24"/>
          <w:szCs w:val="24"/>
        </w:rPr>
        <w:t>ulice (část obce) a č.p./sídlo</w:t>
      </w:r>
    </w:p>
    <w:p w14:paraId="49898336" w14:textId="77777777" w:rsidR="00852440" w:rsidRDefault="00000000">
      <w:pPr>
        <w:tabs>
          <w:tab w:val="left" w:pos="482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sz w:val="24"/>
          <w:szCs w:val="24"/>
        </w:rPr>
        <w:t>PSČ a obec</w:t>
      </w:r>
    </w:p>
    <w:p w14:paraId="3B7B9160" w14:textId="77777777" w:rsidR="00852440" w:rsidRDefault="00000000">
      <w:pPr>
        <w:tabs>
          <w:tab w:val="left" w:pos="482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r.č</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w:t>
      </w:r>
    </w:p>
    <w:p w14:paraId="0E84D2CA" w14:textId="77777777" w:rsidR="00852440" w:rsidRDefault="00852440">
      <w:pPr>
        <w:spacing w:after="0" w:line="240" w:lineRule="auto"/>
        <w:rPr>
          <w:rFonts w:ascii="Times New Roman" w:eastAsia="Times New Roman" w:hAnsi="Times New Roman" w:cs="Times New Roman"/>
          <w:color w:val="000000"/>
          <w:sz w:val="24"/>
          <w:szCs w:val="24"/>
        </w:rPr>
      </w:pPr>
    </w:p>
    <w:p w14:paraId="18974ABB" w14:textId="77777777" w:rsidR="00852440" w:rsidRDefault="00000000">
      <w:pPr>
        <w:tabs>
          <w:tab w:val="left" w:pos="482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Poddlužník:</w:t>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název poddlužníka/jméno a příjmení</w:t>
      </w:r>
    </w:p>
    <w:p w14:paraId="7F1A9603" w14:textId="77777777" w:rsidR="00852440" w:rsidRDefault="00000000">
      <w:pPr>
        <w:tabs>
          <w:tab w:val="left" w:pos="482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sz w:val="24"/>
          <w:szCs w:val="24"/>
        </w:rPr>
        <w:t>ulice (část obce) a č.p./sídlo</w:t>
      </w:r>
    </w:p>
    <w:p w14:paraId="39F9E621" w14:textId="77777777" w:rsidR="00852440" w:rsidRDefault="00000000">
      <w:pPr>
        <w:tabs>
          <w:tab w:val="left" w:pos="482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sz w:val="24"/>
          <w:szCs w:val="24"/>
        </w:rPr>
        <w:t>PSČ a obec</w:t>
      </w:r>
    </w:p>
    <w:p w14:paraId="42FE4F56" w14:textId="77777777" w:rsidR="00852440" w:rsidRDefault="00000000">
      <w:pPr>
        <w:tabs>
          <w:tab w:val="left" w:pos="482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IČ/</w:t>
      </w:r>
      <w:proofErr w:type="spellStart"/>
      <w:r>
        <w:rPr>
          <w:rFonts w:ascii="Times New Roman" w:eastAsia="Times New Roman" w:hAnsi="Times New Roman" w:cs="Times New Roman"/>
          <w:color w:val="000000"/>
          <w:sz w:val="24"/>
          <w:szCs w:val="24"/>
        </w:rPr>
        <w:t>r.č</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w:t>
      </w:r>
    </w:p>
    <w:p w14:paraId="31367DCB" w14:textId="77777777" w:rsidR="00852440" w:rsidRDefault="00852440">
      <w:pPr>
        <w:spacing w:after="0" w:line="240" w:lineRule="auto"/>
        <w:rPr>
          <w:rFonts w:ascii="Times New Roman" w:eastAsia="Times New Roman" w:hAnsi="Times New Roman" w:cs="Times New Roman"/>
          <w:color w:val="000000"/>
          <w:sz w:val="24"/>
          <w:szCs w:val="24"/>
        </w:rPr>
      </w:pPr>
    </w:p>
    <w:p w14:paraId="1284AFA3" w14:textId="77777777" w:rsidR="00852440"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0752C05B" w14:textId="77777777" w:rsidR="00852440" w:rsidRDefault="00852440">
      <w:pPr>
        <w:spacing w:after="0" w:line="240" w:lineRule="auto"/>
        <w:rPr>
          <w:rFonts w:ascii="Times New Roman" w:eastAsia="Times New Roman" w:hAnsi="Times New Roman" w:cs="Times New Roman"/>
          <w:color w:val="000000"/>
          <w:sz w:val="24"/>
          <w:szCs w:val="24"/>
        </w:rPr>
      </w:pPr>
    </w:p>
    <w:p w14:paraId="0CAA291F" w14:textId="77777777" w:rsidR="00852440" w:rsidRDefault="00000000">
      <w:pPr>
        <w:tabs>
          <w:tab w:val="left" w:pos="482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Č.j.:</w:t>
      </w:r>
      <w:r>
        <w:rPr>
          <w:rFonts w:ascii="Times New Roman" w:eastAsia="Times New Roman" w:hAnsi="Times New Roman" w:cs="Times New Roman"/>
          <w:color w:val="000000"/>
          <w:sz w:val="24"/>
          <w:szCs w:val="24"/>
        </w:rPr>
        <w:tab/>
        <w:t>Vyřizuje: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76F8375E" w14:textId="77777777" w:rsidR="00852440" w:rsidRDefault="00000000">
      <w:pPr>
        <w:tabs>
          <w:tab w:val="left" w:pos="4820"/>
        </w:tabs>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Sp</w:t>
      </w:r>
      <w:proofErr w:type="spellEnd"/>
      <w:r>
        <w:rPr>
          <w:rFonts w:ascii="Times New Roman" w:eastAsia="Times New Roman" w:hAnsi="Times New Roman" w:cs="Times New Roman"/>
          <w:color w:val="000000"/>
          <w:sz w:val="24"/>
          <w:szCs w:val="24"/>
        </w:rPr>
        <w:t>. zn.:</w:t>
      </w:r>
      <w:r>
        <w:rPr>
          <w:rFonts w:ascii="Times New Roman" w:eastAsia="Times New Roman" w:hAnsi="Times New Roman" w:cs="Times New Roman"/>
          <w:color w:val="000000"/>
          <w:sz w:val="24"/>
          <w:szCs w:val="24"/>
        </w:rPr>
        <w:tab/>
        <w:t>Telefon:</w:t>
      </w:r>
    </w:p>
    <w:p w14:paraId="2B70F854" w14:textId="77777777" w:rsidR="00852440" w:rsidRDefault="00000000">
      <w:pPr>
        <w:tabs>
          <w:tab w:val="left" w:pos="482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Vaše značka:</w:t>
      </w:r>
      <w:r>
        <w:rPr>
          <w:rFonts w:ascii="Times New Roman" w:eastAsia="Times New Roman" w:hAnsi="Times New Roman" w:cs="Times New Roman"/>
          <w:color w:val="000000"/>
          <w:sz w:val="24"/>
          <w:szCs w:val="24"/>
        </w:rPr>
        <w:tab/>
        <w:t>E-mail:</w:t>
      </w:r>
    </w:p>
    <w:p w14:paraId="27F366A4" w14:textId="77777777" w:rsidR="00852440" w:rsidRDefault="00852440">
      <w:pPr>
        <w:spacing w:after="0" w:line="240" w:lineRule="auto"/>
        <w:rPr>
          <w:rFonts w:ascii="Times New Roman" w:eastAsia="Times New Roman" w:hAnsi="Times New Roman" w:cs="Times New Roman"/>
          <w:color w:val="000000"/>
          <w:sz w:val="24"/>
          <w:szCs w:val="24"/>
        </w:rPr>
      </w:pPr>
    </w:p>
    <w:p w14:paraId="3FB556ED" w14:textId="77777777" w:rsidR="00852440" w:rsidRDefault="00852440">
      <w:pPr>
        <w:spacing w:after="0" w:line="240" w:lineRule="auto"/>
        <w:rPr>
          <w:rFonts w:ascii="Times New Roman" w:eastAsia="Times New Roman" w:hAnsi="Times New Roman" w:cs="Times New Roman"/>
          <w:color w:val="000000"/>
          <w:sz w:val="24"/>
          <w:szCs w:val="24"/>
        </w:rPr>
      </w:pPr>
    </w:p>
    <w:p w14:paraId="2AD4A887" w14:textId="77777777" w:rsidR="00852440"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8"/>
          <w:szCs w:val="28"/>
        </w:rPr>
        <w:t>EXEKUČNÍ PŘÍKAZ</w:t>
      </w:r>
    </w:p>
    <w:p w14:paraId="3B520222" w14:textId="77777777" w:rsidR="00852440" w:rsidRDefault="00852440">
      <w:pPr>
        <w:spacing w:after="0" w:line="240" w:lineRule="auto"/>
        <w:jc w:val="center"/>
        <w:rPr>
          <w:rFonts w:ascii="Times New Roman" w:eastAsia="Times New Roman" w:hAnsi="Times New Roman" w:cs="Times New Roman"/>
          <w:color w:val="000000"/>
          <w:sz w:val="24"/>
          <w:szCs w:val="24"/>
        </w:rPr>
      </w:pPr>
    </w:p>
    <w:p w14:paraId="5428A9F1" w14:textId="7B5D2AA0" w:rsidR="00852440" w:rsidRDefault="0000000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Obecní úřad ……</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jako správce daně</w:t>
      </w:r>
      <w:r w:rsidR="009A275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podle ustanovení § 178 a § 191 zákona č. 280/2009 Sb., daňový řád (dále jen „daňový řád“) a podle ustanovení § 177 daňového řádu také s přiměřeným použitím zákona č. 99/1963 Sb., občanský soudní řád (dále jen „o.s.ř.“), vše ve znění pozdějších předpisů </w:t>
      </w:r>
    </w:p>
    <w:p w14:paraId="370C695A" w14:textId="77777777" w:rsidR="00852440" w:rsidRDefault="00852440">
      <w:pPr>
        <w:spacing w:after="0" w:line="240" w:lineRule="auto"/>
        <w:rPr>
          <w:rFonts w:ascii="Times New Roman" w:eastAsia="Times New Roman" w:hAnsi="Times New Roman" w:cs="Times New Roman"/>
          <w:color w:val="000000"/>
          <w:sz w:val="24"/>
          <w:szCs w:val="24"/>
        </w:rPr>
      </w:pPr>
    </w:p>
    <w:p w14:paraId="62D5FCD6" w14:textId="17A3F048" w:rsidR="001229C9" w:rsidRDefault="00000000">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nařizuje daňovou exekuci přikázáním jiné peněžité pohledávky</w:t>
      </w:r>
      <w:r w:rsidR="001229C9">
        <w:rPr>
          <w:rFonts w:ascii="Times New Roman" w:eastAsia="Times New Roman" w:hAnsi="Times New Roman" w:cs="Times New Roman"/>
          <w:b/>
          <w:color w:val="000000"/>
          <w:sz w:val="24"/>
          <w:szCs w:val="24"/>
        </w:rPr>
        <w:t xml:space="preserve"> -</w:t>
      </w:r>
    </w:p>
    <w:p w14:paraId="723283A0" w14:textId="1975F6C1" w:rsidR="00852440" w:rsidRDefault="001229C9">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w:t>
      </w:r>
      <w:r w:rsidRPr="001229C9">
        <w:rPr>
          <w:rFonts w:ascii="Times New Roman" w:eastAsia="Times New Roman" w:hAnsi="Times New Roman" w:cs="Times New Roman"/>
          <w:b/>
          <w:color w:val="000000"/>
          <w:sz w:val="24"/>
          <w:szCs w:val="24"/>
        </w:rPr>
        <w:t>ýkon rozhodnutí přikázáním pohledávky povinného vůči Vězeňské službě České republiky</w:t>
      </w:r>
      <w:r>
        <w:rPr>
          <w:rFonts w:ascii="Times New Roman" w:eastAsia="Times New Roman" w:hAnsi="Times New Roman" w:cs="Times New Roman"/>
          <w:b/>
          <w:color w:val="000000"/>
          <w:sz w:val="24"/>
          <w:szCs w:val="24"/>
        </w:rPr>
        <w:t xml:space="preserve"> </w:t>
      </w:r>
    </w:p>
    <w:p w14:paraId="16F07A7A" w14:textId="77777777" w:rsidR="00852440" w:rsidRDefault="00852440">
      <w:pPr>
        <w:spacing w:after="0" w:line="240" w:lineRule="auto"/>
        <w:jc w:val="center"/>
        <w:rPr>
          <w:rFonts w:ascii="Times New Roman" w:eastAsia="Times New Roman" w:hAnsi="Times New Roman" w:cs="Times New Roman"/>
          <w:color w:val="000000"/>
          <w:sz w:val="24"/>
          <w:szCs w:val="24"/>
        </w:rPr>
      </w:pPr>
    </w:p>
    <w:p w14:paraId="22975CC9" w14:textId="593B2B26" w:rsidR="00852440"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k vymožení vykonatelného nedoplatku </w:t>
      </w:r>
      <w:r w:rsidR="001229C9">
        <w:rPr>
          <w:rFonts w:ascii="Times New Roman" w:eastAsia="Times New Roman" w:hAnsi="Times New Roman" w:cs="Times New Roman"/>
          <w:color w:val="000000"/>
          <w:sz w:val="24"/>
          <w:szCs w:val="24"/>
        </w:rPr>
        <w:t>…………….</w:t>
      </w:r>
    </w:p>
    <w:p w14:paraId="23CF42EB" w14:textId="77777777" w:rsidR="00852440" w:rsidRDefault="00852440">
      <w:pPr>
        <w:spacing w:after="0" w:line="240" w:lineRule="auto"/>
        <w:jc w:val="center"/>
        <w:rPr>
          <w:rFonts w:ascii="Times New Roman" w:eastAsia="Times New Roman" w:hAnsi="Times New Roman" w:cs="Times New Roman"/>
          <w:color w:val="000000"/>
          <w:sz w:val="24"/>
          <w:szCs w:val="24"/>
        </w:rPr>
      </w:pPr>
    </w:p>
    <w:p w14:paraId="6146F82D" w14:textId="77777777" w:rsidR="00852440" w:rsidRDefault="00000000">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přikazuje shora uvedenému poddlužníkovi,</w:t>
      </w:r>
    </w:p>
    <w:p w14:paraId="7AABC922" w14:textId="77777777" w:rsidR="00852440" w:rsidRDefault="00852440">
      <w:pPr>
        <w:spacing w:after="0" w:line="240" w:lineRule="auto"/>
        <w:rPr>
          <w:rFonts w:ascii="Times New Roman" w:eastAsia="Times New Roman" w:hAnsi="Times New Roman" w:cs="Times New Roman"/>
          <w:color w:val="000000"/>
          <w:sz w:val="24"/>
          <w:szCs w:val="24"/>
        </w:rPr>
      </w:pPr>
    </w:p>
    <w:p w14:paraId="2B50280C" w14:textId="77777777" w:rsidR="00852440" w:rsidRDefault="0000000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aby od okamžiku, kdy mu bude doručen tento exekuční příkaz, po dobu trvání daňové exekuce </w:t>
      </w:r>
    </w:p>
    <w:p w14:paraId="3D1D103A" w14:textId="77777777" w:rsidR="00852440" w:rsidRDefault="00852440">
      <w:pPr>
        <w:spacing w:after="0" w:line="240" w:lineRule="auto"/>
        <w:jc w:val="both"/>
        <w:rPr>
          <w:rFonts w:ascii="Times New Roman" w:eastAsia="Times New Roman" w:hAnsi="Times New Roman" w:cs="Times New Roman"/>
          <w:color w:val="000000"/>
          <w:sz w:val="24"/>
          <w:szCs w:val="24"/>
        </w:rPr>
      </w:pPr>
    </w:p>
    <w:p w14:paraId="1F045FEF" w14:textId="366A046B" w:rsidR="00852440" w:rsidRDefault="00000000">
      <w:pPr>
        <w:tabs>
          <w:tab w:val="left" w:pos="426"/>
        </w:tabs>
        <w:spacing w:after="0" w:line="240" w:lineRule="auto"/>
        <w:ind w:left="426" w:hanging="426"/>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nevyplácel dlužníkovi jeho pohledávku,</w:t>
      </w:r>
      <w:r w:rsidR="00526525">
        <w:rPr>
          <w:rFonts w:ascii="Times New Roman" w:eastAsia="Times New Roman" w:hAnsi="Times New Roman" w:cs="Times New Roman"/>
          <w:b/>
          <w:color w:val="000000"/>
          <w:sz w:val="24"/>
          <w:szCs w:val="24"/>
        </w:rPr>
        <w:t xml:space="preserve"> </w:t>
      </w:r>
      <w:r w:rsidR="00526525" w:rsidRPr="00526525">
        <w:rPr>
          <w:rFonts w:ascii="Times New Roman" w:eastAsia="Times New Roman" w:hAnsi="Times New Roman" w:cs="Times New Roman"/>
          <w:b/>
          <w:color w:val="000000"/>
          <w:sz w:val="24"/>
          <w:szCs w:val="24"/>
        </w:rPr>
        <w:t>která odpovídá výši peněžních prostředků připsaných ve prospěch povinného na účet věznice</w:t>
      </w:r>
      <w:r w:rsidR="00526525">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 xml:space="preserve"> ani na ni neprováděl započtení nebo s ní jiným způsobem nenakládal, a to až do výše …</w:t>
      </w:r>
      <w:proofErr w:type="gramStart"/>
      <w:r>
        <w:rPr>
          <w:rFonts w:ascii="Times New Roman" w:eastAsia="Times New Roman" w:hAnsi="Times New Roman" w:cs="Times New Roman"/>
          <w:b/>
          <w:color w:val="000000"/>
          <w:sz w:val="24"/>
          <w:szCs w:val="24"/>
        </w:rPr>
        <w:t>…….</w:t>
      </w:r>
      <w:proofErr w:type="gramEnd"/>
      <w:r>
        <w:rPr>
          <w:rFonts w:ascii="Times New Roman" w:eastAsia="Times New Roman" w:hAnsi="Times New Roman" w:cs="Times New Roman"/>
          <w:b/>
          <w:color w:val="000000"/>
          <w:sz w:val="24"/>
          <w:szCs w:val="24"/>
        </w:rPr>
        <w:t>. Kč</w:t>
      </w:r>
    </w:p>
    <w:p w14:paraId="05E105A8" w14:textId="77777777" w:rsidR="00852440" w:rsidRDefault="00852440">
      <w:pPr>
        <w:spacing w:after="0" w:line="240" w:lineRule="auto"/>
        <w:jc w:val="both"/>
        <w:rPr>
          <w:rFonts w:ascii="Times New Roman" w:eastAsia="Times New Roman" w:hAnsi="Times New Roman" w:cs="Times New Roman"/>
          <w:color w:val="000000"/>
          <w:sz w:val="24"/>
          <w:szCs w:val="24"/>
        </w:rPr>
      </w:pPr>
    </w:p>
    <w:p w14:paraId="24A2A97E" w14:textId="20FB6CB9" w:rsidR="00852440" w:rsidRDefault="00000000">
      <w:pPr>
        <w:tabs>
          <w:tab w:val="left" w:pos="426"/>
          <w:tab w:val="left" w:pos="852"/>
        </w:tabs>
        <w:spacing w:after="0" w:line="24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vyplatil pohledávku</w:t>
      </w:r>
      <w:r w:rsidR="00526525">
        <w:rPr>
          <w:rFonts w:ascii="Times New Roman" w:eastAsia="Times New Roman" w:hAnsi="Times New Roman" w:cs="Times New Roman"/>
          <w:b/>
          <w:color w:val="000000"/>
          <w:sz w:val="24"/>
          <w:szCs w:val="24"/>
        </w:rPr>
        <w:t xml:space="preserve">, </w:t>
      </w:r>
      <w:r w:rsidR="00526525" w:rsidRPr="00526525">
        <w:rPr>
          <w:rFonts w:ascii="Times New Roman" w:eastAsia="Times New Roman" w:hAnsi="Times New Roman" w:cs="Times New Roman"/>
          <w:b/>
          <w:color w:val="000000"/>
          <w:sz w:val="24"/>
          <w:szCs w:val="24"/>
        </w:rPr>
        <w:t>která odpovídá výši peněžních prostředků připsaných ve prospěch povinného na účet věznice</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správci daně v rozsahu, v jakém byla exekucí postižena </w:t>
      </w:r>
      <w:r>
        <w:rPr>
          <w:rFonts w:ascii="Times New Roman" w:eastAsia="Times New Roman" w:hAnsi="Times New Roman" w:cs="Times New Roman"/>
          <w:b/>
          <w:color w:val="000000"/>
          <w:sz w:val="24"/>
          <w:szCs w:val="24"/>
        </w:rPr>
        <w:t>na účet vedený u ………</w:t>
      </w:r>
      <w:proofErr w:type="gramStart"/>
      <w:r>
        <w:rPr>
          <w:rFonts w:ascii="Times New Roman" w:eastAsia="Times New Roman" w:hAnsi="Times New Roman" w:cs="Times New Roman"/>
          <w:b/>
          <w:color w:val="000000"/>
          <w:sz w:val="24"/>
          <w:szCs w:val="24"/>
        </w:rPr>
        <w:t>…….</w:t>
      </w:r>
      <w:proofErr w:type="gramEnd"/>
      <w:r>
        <w:rPr>
          <w:rFonts w:ascii="Times New Roman" w:eastAsia="Times New Roman" w:hAnsi="Times New Roman" w:cs="Times New Roman"/>
          <w:b/>
          <w:color w:val="000000"/>
          <w:sz w:val="24"/>
          <w:szCs w:val="24"/>
        </w:rPr>
        <w:t xml:space="preserve">. </w:t>
      </w:r>
      <w:proofErr w:type="gramStart"/>
      <w:r>
        <w:rPr>
          <w:rFonts w:ascii="Times New Roman" w:eastAsia="Times New Roman" w:hAnsi="Times New Roman" w:cs="Times New Roman"/>
          <w:b/>
          <w:color w:val="000000"/>
          <w:sz w:val="24"/>
          <w:szCs w:val="24"/>
        </w:rPr>
        <w:t>pod  č.</w:t>
      </w:r>
      <w:proofErr w:type="gramEnd"/>
      <w:r>
        <w:rPr>
          <w:rFonts w:ascii="Times New Roman" w:eastAsia="Times New Roman" w:hAnsi="Times New Roman" w:cs="Times New Roman"/>
          <w:b/>
          <w:color w:val="000000"/>
          <w:sz w:val="24"/>
          <w:szCs w:val="24"/>
        </w:rPr>
        <w:t> …………</w:t>
      </w:r>
      <w:proofErr w:type="gramStart"/>
      <w:r>
        <w:rPr>
          <w:rFonts w:ascii="Times New Roman" w:eastAsia="Times New Roman" w:hAnsi="Times New Roman" w:cs="Times New Roman"/>
          <w:b/>
          <w:color w:val="000000"/>
          <w:sz w:val="24"/>
          <w:szCs w:val="24"/>
        </w:rPr>
        <w:t>…….</w:t>
      </w:r>
      <w:proofErr w:type="gramEnd"/>
      <w:r>
        <w:rPr>
          <w:rFonts w:ascii="Times New Roman" w:eastAsia="Times New Roman" w:hAnsi="Times New Roman" w:cs="Times New Roman"/>
          <w:b/>
          <w:color w:val="000000"/>
          <w:sz w:val="24"/>
          <w:szCs w:val="24"/>
        </w:rPr>
        <w:t>, variabilní symbol ……………</w:t>
      </w:r>
      <w:proofErr w:type="gramStart"/>
      <w:r>
        <w:rPr>
          <w:rFonts w:ascii="Times New Roman" w:eastAsia="Times New Roman" w:hAnsi="Times New Roman" w:cs="Times New Roman"/>
          <w:b/>
          <w:color w:val="000000"/>
          <w:sz w:val="24"/>
          <w:szCs w:val="24"/>
        </w:rPr>
        <w:t>…….</w:t>
      </w:r>
      <w:proofErr w:type="gramEnd"/>
      <w:r>
        <w:rPr>
          <w:rFonts w:ascii="Times New Roman" w:eastAsia="Times New Roman" w:hAnsi="Times New Roman" w:cs="Times New Roman"/>
          <w:b/>
          <w:color w:val="000000"/>
          <w:sz w:val="24"/>
          <w:szCs w:val="24"/>
        </w:rPr>
        <w:t>, specifický symbol …………</w:t>
      </w:r>
      <w:r>
        <w:rPr>
          <w:rFonts w:ascii="Times New Roman" w:eastAsia="Times New Roman" w:hAnsi="Times New Roman" w:cs="Times New Roman"/>
          <w:color w:val="000000"/>
          <w:sz w:val="24"/>
          <w:szCs w:val="24"/>
        </w:rPr>
        <w:t xml:space="preserve">, jakmile jej správce daně vyrozumí o tom, že tento exekuční příkaz nabyl právní moci. Není-li pohledávka v tento den dosud splatná, </w:t>
      </w:r>
      <w:r>
        <w:rPr>
          <w:rFonts w:ascii="Times New Roman" w:eastAsia="Times New Roman" w:hAnsi="Times New Roman" w:cs="Times New Roman"/>
          <w:color w:val="000000"/>
          <w:sz w:val="24"/>
          <w:szCs w:val="24"/>
        </w:rPr>
        <w:lastRenderedPageBreak/>
        <w:t>vyplatí ji správci daně, jakmile se stane splatnou (§ 314a o.s.ř.), to platí i v případě, že dlužníkovi budou dílčí pohledávky z téhož právního důvodu v budoucnu postupně vznikat (§ 191 odst. 1 daňového řádu).</w:t>
      </w:r>
    </w:p>
    <w:p w14:paraId="0F4D07BD" w14:textId="77777777" w:rsidR="00852440" w:rsidRDefault="00852440">
      <w:pPr>
        <w:spacing w:after="0" w:line="240" w:lineRule="auto"/>
        <w:jc w:val="both"/>
        <w:rPr>
          <w:rFonts w:ascii="Times New Roman" w:eastAsia="Times New Roman" w:hAnsi="Times New Roman" w:cs="Times New Roman"/>
          <w:color w:val="000000"/>
          <w:sz w:val="24"/>
          <w:szCs w:val="24"/>
        </w:rPr>
      </w:pPr>
    </w:p>
    <w:p w14:paraId="4D827AAC" w14:textId="77777777" w:rsidR="009A2752" w:rsidRDefault="009A2752" w:rsidP="009A2752">
      <w:pPr>
        <w:tabs>
          <w:tab w:val="left" w:pos="426"/>
        </w:tabs>
        <w:spacing w:after="0" w:line="24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w:t>
      </w:r>
      <w:r w:rsidRPr="002D03D6">
        <w:rPr>
          <w:rFonts w:ascii="Times New Roman" w:eastAsia="Times New Roman" w:hAnsi="Times New Roman" w:cs="Times New Roman"/>
          <w:b/>
          <w:bCs/>
          <w:color w:val="000000"/>
          <w:sz w:val="24"/>
          <w:szCs w:val="24"/>
        </w:rPr>
        <w:t>v případě, že jsou mu známy údaje, které mají nebo by mohly mít vliv na daňovou exekuci dlužníka, je povinen tyto údaje správci daně bez zbytečného odkladu oznámit</w:t>
      </w:r>
      <w:r w:rsidRPr="002D03D6">
        <w:rPr>
          <w:rFonts w:ascii="Times New Roman" w:eastAsia="Times New Roman" w:hAnsi="Times New Roman" w:cs="Times New Roman"/>
          <w:color w:val="000000"/>
          <w:sz w:val="24"/>
          <w:szCs w:val="24"/>
        </w:rPr>
        <w:t xml:space="preserve"> (§ 168 odst. 5 daňového řádu).</w:t>
      </w:r>
    </w:p>
    <w:p w14:paraId="21A8FBEB" w14:textId="77777777" w:rsidR="009A2752" w:rsidRDefault="009A2752" w:rsidP="009A2752">
      <w:pPr>
        <w:spacing w:after="0" w:line="240" w:lineRule="auto"/>
        <w:rPr>
          <w:rFonts w:ascii="Times New Roman" w:eastAsia="Times New Roman" w:hAnsi="Times New Roman" w:cs="Times New Roman"/>
          <w:color w:val="000000"/>
          <w:sz w:val="24"/>
          <w:szCs w:val="24"/>
        </w:rPr>
      </w:pPr>
    </w:p>
    <w:p w14:paraId="192EA3A5" w14:textId="77777777" w:rsidR="00852440" w:rsidRDefault="00852440">
      <w:pPr>
        <w:spacing w:after="0" w:line="240" w:lineRule="auto"/>
        <w:jc w:val="both"/>
        <w:rPr>
          <w:rFonts w:ascii="Times New Roman" w:eastAsia="Times New Roman" w:hAnsi="Times New Roman" w:cs="Times New Roman"/>
          <w:color w:val="000000"/>
          <w:sz w:val="24"/>
          <w:szCs w:val="24"/>
        </w:rPr>
      </w:pPr>
    </w:p>
    <w:p w14:paraId="2D48BD72" w14:textId="61996692" w:rsidR="00852440" w:rsidRPr="009A2752" w:rsidRDefault="00000000">
      <w:pPr>
        <w:spacing w:after="0" w:line="240" w:lineRule="auto"/>
        <w:jc w:val="center"/>
        <w:rPr>
          <w:rFonts w:ascii="Times New Roman" w:eastAsia="Times New Roman" w:hAnsi="Times New Roman" w:cs="Times New Roman"/>
          <w:color w:val="000000"/>
          <w:sz w:val="24"/>
          <w:szCs w:val="24"/>
          <w:u w:val="single"/>
        </w:rPr>
      </w:pPr>
      <w:r w:rsidRPr="009A2752">
        <w:rPr>
          <w:rFonts w:ascii="Times New Roman" w:eastAsia="Times New Roman" w:hAnsi="Times New Roman" w:cs="Times New Roman"/>
          <w:color w:val="000000"/>
          <w:sz w:val="24"/>
          <w:szCs w:val="24"/>
          <w:u w:val="single"/>
        </w:rPr>
        <w:t>Odkaz na exekuční titul</w:t>
      </w:r>
    </w:p>
    <w:p w14:paraId="723A9183" w14:textId="109C6A3D" w:rsidR="00852440" w:rsidRDefault="00000000" w:rsidP="009A2752">
      <w:pPr>
        <w:spacing w:after="0" w:line="240" w:lineRule="auto"/>
        <w:jc w:val="both"/>
        <w:rPr>
          <w:rFonts w:ascii="Times New Roman" w:eastAsia="Times New Roman" w:hAnsi="Times New Roman" w:cs="Times New Roman"/>
          <w:color w:val="000000"/>
          <w:sz w:val="20"/>
          <w:szCs w:val="20"/>
        </w:rPr>
      </w:pPr>
      <w:r w:rsidRPr="009A2752">
        <w:rPr>
          <w:rFonts w:ascii="Times New Roman" w:eastAsia="Times New Roman" w:hAnsi="Times New Roman" w:cs="Times New Roman"/>
          <w:color w:val="000000"/>
          <w:sz w:val="24"/>
          <w:szCs w:val="24"/>
        </w:rPr>
        <w:t xml:space="preserve">Exekuce je nařizována pro níže uvedené nedoplatky </w:t>
      </w:r>
      <w:r w:rsidR="009A2752">
        <w:rPr>
          <w:rFonts w:ascii="Times New Roman" w:eastAsia="Times New Roman" w:hAnsi="Times New Roman" w:cs="Times New Roman"/>
          <w:color w:val="000000"/>
          <w:sz w:val="24"/>
          <w:szCs w:val="24"/>
        </w:rPr>
        <w:t>………</w:t>
      </w:r>
    </w:p>
    <w:p w14:paraId="4BED3072" w14:textId="77777777" w:rsidR="00852440" w:rsidRDefault="00852440">
      <w:pPr>
        <w:spacing w:after="0" w:line="240" w:lineRule="auto"/>
        <w:rPr>
          <w:rFonts w:ascii="Times New Roman" w:eastAsia="Times New Roman" w:hAnsi="Times New Roman" w:cs="Times New Roman"/>
          <w:color w:val="000000"/>
          <w:sz w:val="20"/>
          <w:szCs w:val="20"/>
        </w:rPr>
      </w:pPr>
    </w:p>
    <w:p w14:paraId="656867F1" w14:textId="77777777" w:rsidR="00852440" w:rsidRDefault="00000000">
      <w:pPr>
        <w:spacing w:after="0" w:line="240" w:lineRule="auto"/>
        <w:jc w:val="center"/>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Exekuční náklady</w:t>
      </w:r>
    </w:p>
    <w:p w14:paraId="71688348" w14:textId="77777777" w:rsidR="00852440" w:rsidRDefault="0000000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Exekuční náklady za nařízení daňové exekuce činí 500,- Kč a vymáhají se současně s nedoplatkem, pro který je exekuce nařízena (§ 182 odst. 6 a § 183 odst. 1 daňového řádu).</w:t>
      </w:r>
    </w:p>
    <w:p w14:paraId="51814F3A" w14:textId="77777777" w:rsidR="00852440" w:rsidRDefault="00852440">
      <w:pPr>
        <w:spacing w:after="0" w:line="240" w:lineRule="auto"/>
        <w:rPr>
          <w:rFonts w:ascii="Times New Roman" w:eastAsia="Times New Roman" w:hAnsi="Times New Roman" w:cs="Times New Roman"/>
          <w:color w:val="000000"/>
          <w:sz w:val="24"/>
          <w:szCs w:val="24"/>
        </w:rPr>
      </w:pPr>
    </w:p>
    <w:p w14:paraId="68C93777" w14:textId="77777777" w:rsidR="00852440" w:rsidRDefault="00852440">
      <w:pPr>
        <w:spacing w:after="0" w:line="240" w:lineRule="auto"/>
        <w:rPr>
          <w:rFonts w:ascii="Times New Roman" w:eastAsia="Times New Roman" w:hAnsi="Times New Roman" w:cs="Times New Roman"/>
          <w:color w:val="000000"/>
          <w:sz w:val="24"/>
          <w:szCs w:val="24"/>
        </w:rPr>
      </w:pPr>
    </w:p>
    <w:p w14:paraId="0A61B071" w14:textId="77777777" w:rsidR="00852440" w:rsidRDefault="00000000">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ODŮVODNĚNÍ</w:t>
      </w:r>
    </w:p>
    <w:p w14:paraId="60BA9B37" w14:textId="77777777" w:rsidR="00852440" w:rsidRDefault="0000000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Správce daně stanovil dlužníkovi peněžité plnění vykonatelným/i rozhodnutím/i uvedeným/i ve výroku tohoto rozhodnutí. Dlužník peněžité plnění ve stanovené lhůtě nesplnil. Dlužník dále do dnešního dne nepodal správci daně žádné vysvětlení ani neučinil jiné kroky, které by správce daně před vydáním exekučního příkazu mohl zohlednit. V souladu s ustanovením § 175 daňového řádu proto správce daně přistupuje k vymožení vykonatelných nedoplatků touto daňovou exekucí.</w:t>
      </w:r>
    </w:p>
    <w:p w14:paraId="71E187B6" w14:textId="77777777" w:rsidR="00852440" w:rsidRDefault="00852440">
      <w:pPr>
        <w:spacing w:after="0" w:line="240" w:lineRule="auto"/>
        <w:jc w:val="both"/>
        <w:rPr>
          <w:rFonts w:ascii="Times New Roman" w:eastAsia="Times New Roman" w:hAnsi="Times New Roman" w:cs="Times New Roman"/>
          <w:color w:val="000000"/>
          <w:sz w:val="24"/>
          <w:szCs w:val="24"/>
        </w:rPr>
      </w:pPr>
    </w:p>
    <w:p w14:paraId="74203F2F" w14:textId="77777777" w:rsidR="00852440" w:rsidRDefault="0000000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Správce daně je podle ustanovení § 178 odst. 2 písm. c) daňového řádu povinen vyčíslit ve výroku exekučního příkazu výši exekučních nákladů. Podle ustanovení § 183 odst. 1 daňového řádu platí, že náklady za nařízení daňové exekuce činí </w:t>
      </w:r>
      <w:proofErr w:type="gramStart"/>
      <w:r>
        <w:rPr>
          <w:rFonts w:ascii="Times New Roman" w:eastAsia="Times New Roman" w:hAnsi="Times New Roman" w:cs="Times New Roman"/>
          <w:color w:val="000000"/>
          <w:sz w:val="24"/>
          <w:szCs w:val="24"/>
        </w:rPr>
        <w:t>2%</w:t>
      </w:r>
      <w:proofErr w:type="gramEnd"/>
      <w:r>
        <w:rPr>
          <w:rFonts w:ascii="Times New Roman" w:eastAsia="Times New Roman" w:hAnsi="Times New Roman" w:cs="Times New Roman"/>
          <w:color w:val="000000"/>
          <w:sz w:val="24"/>
          <w:szCs w:val="24"/>
        </w:rPr>
        <w:t xml:space="preserve"> z částky, pro kterou je daňová exekuce nařízena, nejméně však 500,- Kč. S ohledem na výši vymáhané částky správce daně vyčíslil exekuční náklady ve výši 500,- Kč.</w:t>
      </w:r>
    </w:p>
    <w:p w14:paraId="1424E7D6" w14:textId="77777777" w:rsidR="00852440" w:rsidRDefault="00852440">
      <w:pPr>
        <w:spacing w:after="0" w:line="240" w:lineRule="auto"/>
        <w:jc w:val="both"/>
        <w:rPr>
          <w:rFonts w:ascii="Times New Roman" w:eastAsia="Times New Roman" w:hAnsi="Times New Roman" w:cs="Times New Roman"/>
          <w:color w:val="000000"/>
          <w:sz w:val="24"/>
          <w:szCs w:val="24"/>
        </w:rPr>
      </w:pPr>
    </w:p>
    <w:p w14:paraId="66DEB6A9" w14:textId="77777777" w:rsidR="00852440" w:rsidRDefault="00000000">
      <w:pP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Případně popsat další/jinou komunikaci s dlužníkem nebo jiné významné skutečnosti, které se daného řízení týkají.</w:t>
      </w:r>
    </w:p>
    <w:p w14:paraId="09125AE6" w14:textId="77777777" w:rsidR="00852440" w:rsidRDefault="00852440">
      <w:pPr>
        <w:spacing w:after="0" w:line="240" w:lineRule="auto"/>
        <w:rPr>
          <w:rFonts w:ascii="Times New Roman" w:eastAsia="Times New Roman" w:hAnsi="Times New Roman" w:cs="Times New Roman"/>
          <w:color w:val="000000"/>
          <w:sz w:val="24"/>
          <w:szCs w:val="24"/>
        </w:rPr>
      </w:pPr>
    </w:p>
    <w:p w14:paraId="2035D371" w14:textId="77777777" w:rsidR="00852440" w:rsidRDefault="00852440">
      <w:pPr>
        <w:spacing w:after="0" w:line="240" w:lineRule="auto"/>
        <w:jc w:val="both"/>
        <w:rPr>
          <w:rFonts w:ascii="Times New Roman" w:eastAsia="Times New Roman" w:hAnsi="Times New Roman" w:cs="Times New Roman"/>
          <w:color w:val="000000"/>
          <w:sz w:val="24"/>
          <w:szCs w:val="24"/>
        </w:rPr>
      </w:pPr>
    </w:p>
    <w:p w14:paraId="4BFD5E22" w14:textId="77777777" w:rsidR="00852440" w:rsidRDefault="00852440">
      <w:pPr>
        <w:spacing w:after="0" w:line="240" w:lineRule="auto"/>
        <w:rPr>
          <w:rFonts w:ascii="Times New Roman" w:eastAsia="Times New Roman" w:hAnsi="Times New Roman" w:cs="Times New Roman"/>
          <w:color w:val="000000"/>
          <w:sz w:val="24"/>
          <w:szCs w:val="24"/>
        </w:rPr>
      </w:pPr>
    </w:p>
    <w:p w14:paraId="52110E26" w14:textId="77777777" w:rsidR="00852440" w:rsidRDefault="00000000">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POUČENÍ</w:t>
      </w:r>
    </w:p>
    <w:p w14:paraId="7358B2CD" w14:textId="6FC27ADC" w:rsidR="00852440" w:rsidRDefault="0000000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Dlužník nesmí</w:t>
      </w:r>
      <w:r>
        <w:rPr>
          <w:rFonts w:ascii="Times New Roman" w:eastAsia="Times New Roman" w:hAnsi="Times New Roman" w:cs="Times New Roman"/>
          <w:color w:val="000000"/>
          <w:sz w:val="24"/>
          <w:szCs w:val="24"/>
        </w:rPr>
        <w:t xml:space="preserve"> od okamžiku, kdy mu byl doručen exekuční příkaz, po dobu trvání daňové exekuce se svou </w:t>
      </w:r>
      <w:r w:rsidR="00526525">
        <w:rPr>
          <w:rFonts w:ascii="Times New Roman" w:eastAsia="Times New Roman" w:hAnsi="Times New Roman" w:cs="Times New Roman"/>
          <w:color w:val="000000"/>
          <w:sz w:val="24"/>
          <w:szCs w:val="24"/>
        </w:rPr>
        <w:t xml:space="preserve">výše uvedenou </w:t>
      </w:r>
      <w:r>
        <w:rPr>
          <w:rFonts w:ascii="Times New Roman" w:eastAsia="Times New Roman" w:hAnsi="Times New Roman" w:cs="Times New Roman"/>
          <w:color w:val="000000"/>
          <w:sz w:val="24"/>
          <w:szCs w:val="24"/>
        </w:rPr>
        <w:t>pohledávkou jakkoli nakládat a ztrácí právo na její vyplacení (§ 191 odst. 2 daňového řádu).</w:t>
      </w:r>
    </w:p>
    <w:p w14:paraId="2CD04B00" w14:textId="77777777" w:rsidR="00852440" w:rsidRDefault="00852440">
      <w:pPr>
        <w:spacing w:after="0" w:line="240" w:lineRule="auto"/>
        <w:jc w:val="both"/>
        <w:rPr>
          <w:rFonts w:ascii="Times New Roman" w:eastAsia="Times New Roman" w:hAnsi="Times New Roman" w:cs="Times New Roman"/>
          <w:color w:val="000000"/>
          <w:sz w:val="24"/>
          <w:szCs w:val="24"/>
        </w:rPr>
      </w:pPr>
    </w:p>
    <w:p w14:paraId="4DDA0176" w14:textId="77777777" w:rsidR="00852440" w:rsidRDefault="0000000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Exekuci lze nařídit</w:t>
      </w:r>
      <w:r>
        <w:rPr>
          <w:rFonts w:ascii="Times New Roman" w:eastAsia="Times New Roman" w:hAnsi="Times New Roman" w:cs="Times New Roman"/>
          <w:color w:val="000000"/>
          <w:sz w:val="24"/>
          <w:szCs w:val="24"/>
        </w:rPr>
        <w:t xml:space="preserve"> i v případě, že pohledávka dlužníka </w:t>
      </w:r>
      <w:r>
        <w:rPr>
          <w:rFonts w:ascii="Times New Roman" w:eastAsia="Times New Roman" w:hAnsi="Times New Roman" w:cs="Times New Roman"/>
          <w:b/>
          <w:color w:val="000000"/>
          <w:sz w:val="24"/>
          <w:szCs w:val="24"/>
        </w:rPr>
        <w:t>se stane splatnou teprve v budoucnu</w:t>
      </w:r>
      <w:r>
        <w:rPr>
          <w:rFonts w:ascii="Times New Roman" w:eastAsia="Times New Roman" w:hAnsi="Times New Roman" w:cs="Times New Roman"/>
          <w:color w:val="000000"/>
          <w:sz w:val="24"/>
          <w:szCs w:val="24"/>
        </w:rPr>
        <w:t xml:space="preserve">, jakož i v případě, že dlužníkovi </w:t>
      </w:r>
      <w:r>
        <w:rPr>
          <w:rFonts w:ascii="Times New Roman" w:eastAsia="Times New Roman" w:hAnsi="Times New Roman" w:cs="Times New Roman"/>
          <w:b/>
          <w:color w:val="000000"/>
          <w:sz w:val="24"/>
          <w:szCs w:val="24"/>
        </w:rPr>
        <w:t>budou</w:t>
      </w:r>
      <w:r>
        <w:rPr>
          <w:rFonts w:ascii="Times New Roman" w:eastAsia="Times New Roman" w:hAnsi="Times New Roman" w:cs="Times New Roman"/>
          <w:color w:val="000000"/>
          <w:sz w:val="24"/>
          <w:szCs w:val="24"/>
        </w:rPr>
        <w:t xml:space="preserve"> dílčí </w:t>
      </w:r>
      <w:r>
        <w:rPr>
          <w:rFonts w:ascii="Times New Roman" w:eastAsia="Times New Roman" w:hAnsi="Times New Roman" w:cs="Times New Roman"/>
          <w:b/>
          <w:color w:val="000000"/>
          <w:sz w:val="24"/>
          <w:szCs w:val="24"/>
        </w:rPr>
        <w:t>pohledávky</w:t>
      </w:r>
      <w:r>
        <w:rPr>
          <w:rFonts w:ascii="Times New Roman" w:eastAsia="Times New Roman" w:hAnsi="Times New Roman" w:cs="Times New Roman"/>
          <w:color w:val="000000"/>
          <w:sz w:val="24"/>
          <w:szCs w:val="24"/>
        </w:rPr>
        <w:t xml:space="preserve"> z téhož právního důvodu </w:t>
      </w:r>
      <w:r>
        <w:rPr>
          <w:rFonts w:ascii="Times New Roman" w:eastAsia="Times New Roman" w:hAnsi="Times New Roman" w:cs="Times New Roman"/>
          <w:b/>
          <w:color w:val="000000"/>
          <w:sz w:val="24"/>
          <w:szCs w:val="24"/>
        </w:rPr>
        <w:t>v budoucnu postupně vznikat</w:t>
      </w:r>
      <w:r>
        <w:rPr>
          <w:rFonts w:ascii="Times New Roman" w:eastAsia="Times New Roman" w:hAnsi="Times New Roman" w:cs="Times New Roman"/>
          <w:color w:val="000000"/>
          <w:sz w:val="24"/>
          <w:szCs w:val="24"/>
        </w:rPr>
        <w:t xml:space="preserve"> (§ 191 odst. 1 daňového řádu).</w:t>
      </w:r>
    </w:p>
    <w:p w14:paraId="3F76EA21" w14:textId="77777777" w:rsidR="00852440" w:rsidRDefault="00852440">
      <w:pPr>
        <w:tabs>
          <w:tab w:val="right" w:pos="8505"/>
        </w:tabs>
        <w:spacing w:after="0" w:line="240" w:lineRule="auto"/>
        <w:jc w:val="both"/>
        <w:rPr>
          <w:rFonts w:ascii="Times New Roman" w:eastAsia="Times New Roman" w:hAnsi="Times New Roman" w:cs="Times New Roman"/>
          <w:color w:val="000000"/>
          <w:sz w:val="8"/>
          <w:szCs w:val="8"/>
        </w:rPr>
      </w:pPr>
    </w:p>
    <w:p w14:paraId="470AF089" w14:textId="77777777" w:rsidR="00852440" w:rsidRDefault="00852440">
      <w:pPr>
        <w:tabs>
          <w:tab w:val="right" w:pos="8505"/>
        </w:tabs>
        <w:spacing w:after="0" w:line="240" w:lineRule="auto"/>
        <w:jc w:val="both"/>
        <w:rPr>
          <w:rFonts w:ascii="Times New Roman" w:eastAsia="Times New Roman" w:hAnsi="Times New Roman" w:cs="Times New Roman"/>
          <w:b/>
          <w:color w:val="000000"/>
          <w:sz w:val="24"/>
          <w:szCs w:val="24"/>
        </w:rPr>
      </w:pPr>
    </w:p>
    <w:p w14:paraId="09BA9C1A" w14:textId="77777777" w:rsidR="00852440" w:rsidRDefault="0000000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Nesplní-li poddlužník povinnost</w:t>
      </w:r>
      <w:r>
        <w:rPr>
          <w:rFonts w:ascii="Times New Roman" w:eastAsia="Times New Roman" w:hAnsi="Times New Roman" w:cs="Times New Roman"/>
          <w:color w:val="000000"/>
          <w:sz w:val="24"/>
          <w:szCs w:val="24"/>
        </w:rPr>
        <w:t xml:space="preserve"> stanovenou mu exekučním příkazem a zákonem řádně a včas, má správce daně nárok na její splnění z prostředků tohoto poddlužníka; tento nárok správce daně uplatní podáním žaloby k soudu (§186 odst. 3 daňového řádu).</w:t>
      </w:r>
    </w:p>
    <w:p w14:paraId="57034D3D" w14:textId="77777777" w:rsidR="00852440" w:rsidRDefault="00852440">
      <w:pPr>
        <w:tabs>
          <w:tab w:val="right" w:pos="8505"/>
        </w:tabs>
        <w:spacing w:after="0" w:line="240" w:lineRule="auto"/>
        <w:jc w:val="both"/>
        <w:rPr>
          <w:rFonts w:ascii="Times New Roman" w:eastAsia="Times New Roman" w:hAnsi="Times New Roman" w:cs="Times New Roman"/>
          <w:color w:val="000000"/>
          <w:sz w:val="8"/>
          <w:szCs w:val="8"/>
        </w:rPr>
      </w:pPr>
    </w:p>
    <w:p w14:paraId="34B6F50D" w14:textId="77777777" w:rsidR="00852440" w:rsidRDefault="00852440">
      <w:pPr>
        <w:tabs>
          <w:tab w:val="right" w:pos="8505"/>
        </w:tabs>
        <w:spacing w:after="0" w:line="240" w:lineRule="auto"/>
        <w:jc w:val="both"/>
        <w:rPr>
          <w:rFonts w:ascii="Times New Roman" w:eastAsia="Times New Roman" w:hAnsi="Times New Roman" w:cs="Times New Roman"/>
          <w:color w:val="000000"/>
          <w:sz w:val="24"/>
          <w:szCs w:val="24"/>
        </w:rPr>
      </w:pPr>
    </w:p>
    <w:p w14:paraId="69E3D008" w14:textId="77777777" w:rsidR="00852440" w:rsidRDefault="00852440">
      <w:pPr>
        <w:tabs>
          <w:tab w:val="right" w:pos="8505"/>
        </w:tabs>
        <w:spacing w:after="0" w:line="240" w:lineRule="auto"/>
        <w:jc w:val="both"/>
        <w:rPr>
          <w:rFonts w:ascii="Times New Roman" w:eastAsia="Times New Roman" w:hAnsi="Times New Roman" w:cs="Times New Roman"/>
          <w:color w:val="000000"/>
          <w:sz w:val="24"/>
          <w:szCs w:val="24"/>
        </w:rPr>
      </w:pPr>
    </w:p>
    <w:p w14:paraId="63B0BAB7" w14:textId="77777777" w:rsidR="00852440" w:rsidRDefault="00000000">
      <w:pPr>
        <w:spacing w:after="0" w:line="240" w:lineRule="auto"/>
        <w:jc w:val="both"/>
        <w:rPr>
          <w:rFonts w:ascii="Times New Roman" w:eastAsia="Times New Roman" w:hAnsi="Times New Roman" w:cs="Times New Roman"/>
          <w:color w:val="000000"/>
          <w:sz w:val="24"/>
          <w:szCs w:val="24"/>
        </w:rPr>
      </w:pPr>
      <w:bookmarkStart w:id="0" w:name="_gjdgxs" w:colFirst="0" w:colLast="0"/>
      <w:bookmarkEnd w:id="0"/>
      <w:r>
        <w:rPr>
          <w:rFonts w:ascii="Times New Roman" w:eastAsia="Times New Roman" w:hAnsi="Times New Roman" w:cs="Times New Roman"/>
          <w:color w:val="000000"/>
          <w:sz w:val="24"/>
          <w:szCs w:val="24"/>
        </w:rPr>
        <w:lastRenderedPageBreak/>
        <w:t>Úřední osoby a osoby zúčastněné na správě daní jsou vázány povinností mlčenlivost o tom, co se při správě daní dozvěděly o poměrech jiných osob. To neplatí pro daňový (poplatkový) subjekt, pokud jde o informace získané nebo použité při správě jeho daní (§ 52 odst. 1 daňového řádu). Fyzická osoba, která je vázána povinností mlčenlivosti za podmínek stanovených daňovým zákonem, se dopustí přestupku, pokud tuto povinnost poruší.</w:t>
      </w:r>
    </w:p>
    <w:p w14:paraId="0DF7E955" w14:textId="77777777" w:rsidR="00852440" w:rsidRDefault="00852440">
      <w:pPr>
        <w:spacing w:after="0" w:line="240" w:lineRule="auto"/>
        <w:jc w:val="both"/>
        <w:rPr>
          <w:rFonts w:ascii="Times New Roman" w:eastAsia="Times New Roman" w:hAnsi="Times New Roman" w:cs="Times New Roman"/>
          <w:color w:val="000000"/>
          <w:sz w:val="24"/>
          <w:szCs w:val="24"/>
        </w:rPr>
      </w:pPr>
    </w:p>
    <w:p w14:paraId="7ABF161A" w14:textId="77777777" w:rsidR="00852440" w:rsidRDefault="0000000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Pořádkovou pokutu do 500 000 Kč může správce daně uložit tomu, kdo závažně ztěžuje nebo maří správu daní tím, že bez dostatečné omluvy nevyhoví ve stanovené lhůtě výzvě ke splnění procesní povinnosti nepeněžité povahy, která mu byla stanovena zákonem nebo správcem poplatku, nestanoví-li zákon jiný důsledek (§ 247 odst. 2).</w:t>
      </w:r>
    </w:p>
    <w:p w14:paraId="0FBFD471" w14:textId="77777777" w:rsidR="00852440" w:rsidRDefault="00852440">
      <w:pPr>
        <w:spacing w:after="0" w:line="240" w:lineRule="auto"/>
        <w:jc w:val="both"/>
        <w:rPr>
          <w:rFonts w:ascii="Times New Roman" w:eastAsia="Times New Roman" w:hAnsi="Times New Roman" w:cs="Times New Roman"/>
          <w:color w:val="000000"/>
          <w:sz w:val="24"/>
          <w:szCs w:val="24"/>
        </w:rPr>
      </w:pPr>
    </w:p>
    <w:p w14:paraId="4D45A33B" w14:textId="77777777" w:rsidR="00852440" w:rsidRDefault="0000000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Správce daně je podle </w:t>
      </w:r>
      <w:proofErr w:type="spellStart"/>
      <w:r>
        <w:rPr>
          <w:rFonts w:ascii="Times New Roman" w:eastAsia="Times New Roman" w:hAnsi="Times New Roman" w:cs="Times New Roman"/>
          <w:color w:val="000000"/>
          <w:sz w:val="24"/>
          <w:szCs w:val="24"/>
        </w:rPr>
        <w:t>ust</w:t>
      </w:r>
      <w:proofErr w:type="spellEnd"/>
      <w:r>
        <w:rPr>
          <w:rFonts w:ascii="Times New Roman" w:eastAsia="Times New Roman" w:hAnsi="Times New Roman" w:cs="Times New Roman"/>
          <w:color w:val="000000"/>
          <w:sz w:val="24"/>
          <w:szCs w:val="24"/>
        </w:rPr>
        <w:t>. § 247a odst. 1 písm. a) daňového řádu oprávněn uložit pokutu tomu, kdo nesplní registrační, ohlašovací nebo jinou oznamovací povinnost, stanovenou daňovým zákonem nebo správcem poplatku.</w:t>
      </w:r>
    </w:p>
    <w:p w14:paraId="0393E069" w14:textId="77777777" w:rsidR="00852440" w:rsidRDefault="00852440">
      <w:pPr>
        <w:spacing w:after="0" w:line="240" w:lineRule="auto"/>
        <w:jc w:val="both"/>
        <w:rPr>
          <w:rFonts w:ascii="Times New Roman" w:eastAsia="Times New Roman" w:hAnsi="Times New Roman" w:cs="Times New Roman"/>
          <w:color w:val="000000"/>
          <w:sz w:val="24"/>
          <w:szCs w:val="24"/>
        </w:rPr>
      </w:pPr>
    </w:p>
    <w:p w14:paraId="5B14C4AE" w14:textId="77777777" w:rsidR="00852440" w:rsidRDefault="0000000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Zpracování osobních údajů se řídí </w:t>
      </w:r>
      <w:proofErr w:type="spellStart"/>
      <w:r>
        <w:rPr>
          <w:rFonts w:ascii="Times New Roman" w:eastAsia="Times New Roman" w:hAnsi="Times New Roman" w:cs="Times New Roman"/>
          <w:color w:val="000000"/>
          <w:sz w:val="24"/>
          <w:szCs w:val="24"/>
        </w:rPr>
        <w:t>ust</w:t>
      </w:r>
      <w:proofErr w:type="spellEnd"/>
      <w:r>
        <w:rPr>
          <w:rFonts w:ascii="Times New Roman" w:eastAsia="Times New Roman" w:hAnsi="Times New Roman" w:cs="Times New Roman"/>
          <w:color w:val="000000"/>
          <w:sz w:val="24"/>
          <w:szCs w:val="24"/>
        </w:rPr>
        <w:t>. § 59a daňového řádu a ostatní informace o zpracování osobních údajů jsou dostupné na adrese: www………</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w:t>
      </w:r>
    </w:p>
    <w:p w14:paraId="46CA2B51" w14:textId="77777777" w:rsidR="00852440" w:rsidRDefault="00852440">
      <w:pPr>
        <w:spacing w:after="0" w:line="240" w:lineRule="auto"/>
        <w:jc w:val="both"/>
        <w:rPr>
          <w:rFonts w:ascii="Times New Roman" w:eastAsia="Times New Roman" w:hAnsi="Times New Roman" w:cs="Times New Roman"/>
          <w:color w:val="000000"/>
          <w:sz w:val="24"/>
          <w:szCs w:val="24"/>
        </w:rPr>
      </w:pPr>
    </w:p>
    <w:p w14:paraId="54EC8FAD" w14:textId="3C20F7A8" w:rsidR="00852440" w:rsidRDefault="0000000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Proti tomuto rozhodnutí </w:t>
      </w:r>
      <w:r>
        <w:rPr>
          <w:rFonts w:ascii="Times New Roman" w:eastAsia="Times New Roman" w:hAnsi="Times New Roman" w:cs="Times New Roman"/>
          <w:b/>
          <w:color w:val="000000"/>
          <w:sz w:val="24"/>
          <w:szCs w:val="24"/>
        </w:rPr>
        <w:t>nelze uplatnit opravné prostředky</w:t>
      </w:r>
      <w:r>
        <w:rPr>
          <w:rFonts w:ascii="Times New Roman" w:eastAsia="Times New Roman" w:hAnsi="Times New Roman" w:cs="Times New Roman"/>
          <w:color w:val="000000"/>
          <w:sz w:val="24"/>
          <w:szCs w:val="24"/>
        </w:rPr>
        <w:t xml:space="preserve"> </w:t>
      </w:r>
      <w:r w:rsidR="009A2752">
        <w:rPr>
          <w:rFonts w:ascii="Times New Roman" w:eastAsia="Times New Roman" w:hAnsi="Times New Roman" w:cs="Times New Roman"/>
          <w:color w:val="000000"/>
          <w:sz w:val="24"/>
          <w:szCs w:val="24"/>
        </w:rPr>
        <w:t xml:space="preserve">ani námitku </w:t>
      </w:r>
      <w:r>
        <w:rPr>
          <w:rFonts w:ascii="Times New Roman" w:eastAsia="Times New Roman" w:hAnsi="Times New Roman" w:cs="Times New Roman"/>
          <w:color w:val="000000"/>
          <w:sz w:val="24"/>
          <w:szCs w:val="24"/>
        </w:rPr>
        <w:t>(§ 178 odst. 4 daňového řádu).</w:t>
      </w:r>
    </w:p>
    <w:p w14:paraId="3646A7AD" w14:textId="77777777" w:rsidR="00852440" w:rsidRDefault="00852440">
      <w:pPr>
        <w:spacing w:after="0" w:line="240" w:lineRule="auto"/>
        <w:jc w:val="both"/>
        <w:rPr>
          <w:rFonts w:ascii="Times New Roman" w:eastAsia="Times New Roman" w:hAnsi="Times New Roman" w:cs="Times New Roman"/>
          <w:color w:val="000000"/>
          <w:sz w:val="24"/>
          <w:szCs w:val="24"/>
        </w:rPr>
      </w:pPr>
    </w:p>
    <w:p w14:paraId="4F9B70F0" w14:textId="77777777" w:rsidR="00852440" w:rsidRDefault="0000000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Správce daně může daňovou exekuci na návrh dlužníka</w:t>
      </w:r>
      <w:r>
        <w:rPr>
          <w:rFonts w:ascii="Times New Roman" w:eastAsia="Times New Roman" w:hAnsi="Times New Roman" w:cs="Times New Roman"/>
          <w:b/>
          <w:color w:val="000000"/>
          <w:sz w:val="24"/>
          <w:szCs w:val="24"/>
        </w:rPr>
        <w:t xml:space="preserve"> částečně nebo zcela odložit</w:t>
      </w:r>
      <w:r>
        <w:rPr>
          <w:rFonts w:ascii="Times New Roman" w:eastAsia="Times New Roman" w:hAnsi="Times New Roman" w:cs="Times New Roman"/>
          <w:color w:val="000000"/>
          <w:sz w:val="24"/>
          <w:szCs w:val="24"/>
        </w:rPr>
        <w:t>, zejména šetří-li skutečnosti rozhodné pro zastavení daňové exekuce (§ 181 odst. 1 daňového řádu).</w:t>
      </w:r>
    </w:p>
    <w:p w14:paraId="19487FE8" w14:textId="77777777" w:rsidR="00852440" w:rsidRDefault="00852440">
      <w:pPr>
        <w:spacing w:after="0" w:line="240" w:lineRule="auto"/>
        <w:jc w:val="both"/>
        <w:rPr>
          <w:rFonts w:ascii="Times New Roman" w:eastAsia="Times New Roman" w:hAnsi="Times New Roman" w:cs="Times New Roman"/>
          <w:color w:val="000000"/>
          <w:sz w:val="24"/>
          <w:szCs w:val="24"/>
        </w:rPr>
      </w:pPr>
    </w:p>
    <w:p w14:paraId="0D5F9D28" w14:textId="77777777" w:rsidR="00852440" w:rsidRDefault="00852440">
      <w:pPr>
        <w:spacing w:after="0" w:line="240" w:lineRule="auto"/>
        <w:jc w:val="both"/>
        <w:rPr>
          <w:rFonts w:ascii="Times New Roman" w:eastAsia="Times New Roman" w:hAnsi="Times New Roman" w:cs="Times New Roman"/>
          <w:color w:val="000000"/>
          <w:sz w:val="24"/>
          <w:szCs w:val="24"/>
        </w:rPr>
      </w:pPr>
    </w:p>
    <w:bookmarkStart w:id="1" w:name="_30j0zll" w:colFirst="0" w:colLast="0"/>
    <w:bookmarkEnd w:id="1"/>
    <w:p w14:paraId="281CD203" w14:textId="77777777" w:rsidR="00852440" w:rsidRDefault="00000000">
      <w:pPr>
        <w:spacing w:after="0" w:line="240" w:lineRule="auto"/>
        <w:rPr>
          <w:rFonts w:ascii="Times New Roman" w:eastAsia="Times New Roman" w:hAnsi="Times New Roman" w:cs="Times New Roman"/>
          <w:color w:val="000000"/>
          <w:sz w:val="24"/>
          <w:szCs w:val="24"/>
        </w:rPr>
      </w:pPr>
      <w:r>
        <w:rPr>
          <w:noProof/>
        </w:rPr>
        <mc:AlternateContent>
          <mc:Choice Requires="wpg">
            <w:drawing>
              <wp:anchor distT="0" distB="0" distL="114300" distR="114300" simplePos="0" relativeHeight="251658240" behindDoc="0" locked="0" layoutInCell="1" hidden="0" allowOverlap="1" wp14:anchorId="597195A1" wp14:editId="75861628">
                <wp:simplePos x="0" y="0"/>
                <wp:positionH relativeFrom="column">
                  <wp:posOffset>2197100</wp:posOffset>
                </wp:positionH>
                <wp:positionV relativeFrom="paragraph">
                  <wp:posOffset>76200</wp:posOffset>
                </wp:positionV>
                <wp:extent cx="1200150" cy="1157605"/>
                <wp:effectExtent l="0" t="0" r="0" b="0"/>
                <wp:wrapNone/>
                <wp:docPr id="1" name="Ovál 1"/>
                <wp:cNvGraphicFramePr/>
                <a:graphic xmlns:a="http://schemas.openxmlformats.org/drawingml/2006/main">
                  <a:graphicData uri="http://schemas.microsoft.com/office/word/2010/wordprocessingShape">
                    <wps:wsp>
                      <wps:cNvSpPr/>
                      <wps:spPr>
                        <a:xfrm>
                          <a:off x="4755450" y="3210723"/>
                          <a:ext cx="1181100" cy="1138555"/>
                        </a:xfrm>
                        <a:prstGeom prst="ellipse">
                          <a:avLst/>
                        </a:prstGeom>
                        <a:solidFill>
                          <a:srgbClr val="FFFFFF"/>
                        </a:solidFill>
                        <a:ln w="9525" cap="flat" cmpd="sng">
                          <a:solidFill>
                            <a:srgbClr val="000000"/>
                          </a:solidFill>
                          <a:prstDash val="dash"/>
                          <a:round/>
                          <a:headEnd type="none" w="sm" len="sm"/>
                          <a:tailEnd type="none" w="sm" len="sm"/>
                        </a:ln>
                      </wps:spPr>
                      <wps:txbx>
                        <w:txbxContent>
                          <w:p w14:paraId="6CFE7B72" w14:textId="77777777" w:rsidR="00852440" w:rsidRDefault="00000000">
                            <w:pPr>
                              <w:spacing w:line="258" w:lineRule="auto"/>
                              <w:jc w:val="center"/>
                              <w:textDirection w:val="btLr"/>
                            </w:pPr>
                            <w:r>
                              <w:rPr>
                                <w:color w:val="000000"/>
                              </w:rPr>
                              <w:t>otisk</w:t>
                            </w:r>
                          </w:p>
                          <w:p w14:paraId="79D2A61E" w14:textId="77777777" w:rsidR="00852440" w:rsidRDefault="00000000">
                            <w:pPr>
                              <w:spacing w:line="258" w:lineRule="auto"/>
                              <w:jc w:val="center"/>
                              <w:textDirection w:val="btLr"/>
                            </w:pPr>
                            <w:r>
                              <w:rPr>
                                <w:color w:val="000000"/>
                              </w:rPr>
                              <w:t>úředního</w:t>
                            </w:r>
                          </w:p>
                          <w:p w14:paraId="213BC7B5" w14:textId="77777777" w:rsidR="00852440" w:rsidRDefault="00000000">
                            <w:pPr>
                              <w:spacing w:line="258" w:lineRule="auto"/>
                              <w:jc w:val="center"/>
                              <w:textDirection w:val="btLr"/>
                            </w:pPr>
                            <w:r>
                              <w:rPr>
                                <w:color w:val="000000"/>
                              </w:rPr>
                              <w:t>razítka</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2197100</wp:posOffset>
                </wp:positionH>
                <wp:positionV relativeFrom="paragraph">
                  <wp:posOffset>76200</wp:posOffset>
                </wp:positionV>
                <wp:extent cx="1200150" cy="1157605"/>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1200150" cy="1157605"/>
                        </a:xfrm>
                        <a:prstGeom prst="rect"/>
                        <a:ln/>
                      </pic:spPr>
                    </pic:pic>
                  </a:graphicData>
                </a:graphic>
              </wp:anchor>
            </w:drawing>
          </mc:Fallback>
        </mc:AlternateContent>
      </w:r>
    </w:p>
    <w:p w14:paraId="74B185B1" w14:textId="77777777" w:rsidR="00852440" w:rsidRDefault="00852440">
      <w:pPr>
        <w:spacing w:after="0" w:line="240" w:lineRule="auto"/>
        <w:jc w:val="center"/>
        <w:rPr>
          <w:rFonts w:ascii="Times New Roman" w:eastAsia="Times New Roman" w:hAnsi="Times New Roman" w:cs="Times New Roman"/>
          <w:color w:val="000000"/>
          <w:sz w:val="24"/>
          <w:szCs w:val="24"/>
        </w:rPr>
      </w:pPr>
    </w:p>
    <w:p w14:paraId="5962D7E0" w14:textId="77777777" w:rsidR="00852440" w:rsidRDefault="00852440">
      <w:pPr>
        <w:spacing w:after="0" w:line="240" w:lineRule="auto"/>
        <w:rPr>
          <w:rFonts w:ascii="Times New Roman" w:eastAsia="Times New Roman" w:hAnsi="Times New Roman" w:cs="Times New Roman"/>
          <w:color w:val="000000"/>
          <w:sz w:val="24"/>
          <w:szCs w:val="24"/>
        </w:rPr>
      </w:pPr>
    </w:p>
    <w:p w14:paraId="4000A0E4" w14:textId="77777777" w:rsidR="00852440" w:rsidRDefault="00852440">
      <w:pPr>
        <w:spacing w:after="0" w:line="240" w:lineRule="auto"/>
        <w:rPr>
          <w:rFonts w:ascii="Times New Roman" w:eastAsia="Times New Roman" w:hAnsi="Times New Roman" w:cs="Times New Roman"/>
          <w:color w:val="000000"/>
          <w:sz w:val="24"/>
          <w:szCs w:val="24"/>
        </w:rPr>
      </w:pPr>
    </w:p>
    <w:p w14:paraId="73290F9C" w14:textId="77777777" w:rsidR="00852440" w:rsidRDefault="00852440">
      <w:pPr>
        <w:spacing w:after="0" w:line="240" w:lineRule="auto"/>
        <w:rPr>
          <w:rFonts w:ascii="Times New Roman" w:eastAsia="Times New Roman" w:hAnsi="Times New Roman" w:cs="Times New Roman"/>
          <w:color w:val="000000"/>
          <w:sz w:val="24"/>
          <w:szCs w:val="24"/>
        </w:rPr>
      </w:pPr>
    </w:p>
    <w:p w14:paraId="0948CA23" w14:textId="77777777" w:rsidR="00852440" w:rsidRDefault="00852440">
      <w:pPr>
        <w:spacing w:after="0" w:line="240" w:lineRule="auto"/>
        <w:rPr>
          <w:rFonts w:ascii="Times New Roman" w:eastAsia="Times New Roman" w:hAnsi="Times New Roman" w:cs="Times New Roman"/>
          <w:color w:val="000000"/>
          <w:sz w:val="24"/>
          <w:szCs w:val="24"/>
        </w:rPr>
      </w:pPr>
    </w:p>
    <w:p w14:paraId="487F5AEF" w14:textId="77777777" w:rsidR="00852440" w:rsidRDefault="00852440">
      <w:pPr>
        <w:spacing w:after="0" w:line="240" w:lineRule="auto"/>
        <w:rPr>
          <w:rFonts w:ascii="Times New Roman" w:eastAsia="Times New Roman" w:hAnsi="Times New Roman" w:cs="Times New Roman"/>
          <w:color w:val="000000"/>
          <w:sz w:val="24"/>
          <w:szCs w:val="24"/>
        </w:rPr>
      </w:pPr>
    </w:p>
    <w:p w14:paraId="58D061D5" w14:textId="77777777" w:rsidR="00852440" w:rsidRDefault="00852440">
      <w:pPr>
        <w:spacing w:after="0" w:line="240" w:lineRule="auto"/>
        <w:rPr>
          <w:rFonts w:ascii="Times New Roman" w:eastAsia="Times New Roman" w:hAnsi="Times New Roman" w:cs="Times New Roman"/>
          <w:color w:val="000000"/>
          <w:sz w:val="24"/>
          <w:szCs w:val="24"/>
        </w:rPr>
      </w:pPr>
    </w:p>
    <w:p w14:paraId="4D460E81" w14:textId="77777777" w:rsidR="00852440" w:rsidRDefault="00852440">
      <w:pPr>
        <w:spacing w:after="0" w:line="240" w:lineRule="auto"/>
        <w:rPr>
          <w:rFonts w:ascii="Times New Roman" w:eastAsia="Times New Roman" w:hAnsi="Times New Roman" w:cs="Times New Roman"/>
          <w:color w:val="000000"/>
          <w:sz w:val="24"/>
          <w:szCs w:val="24"/>
        </w:rPr>
      </w:pPr>
    </w:p>
    <w:p w14:paraId="13A75ACF" w14:textId="77777777" w:rsidR="00852440" w:rsidRDefault="00852440">
      <w:pPr>
        <w:spacing w:after="0" w:line="240" w:lineRule="auto"/>
        <w:rPr>
          <w:rFonts w:ascii="Times New Roman" w:eastAsia="Times New Roman" w:hAnsi="Times New Roman" w:cs="Times New Roman"/>
          <w:color w:val="000000"/>
          <w:sz w:val="24"/>
          <w:szCs w:val="24"/>
        </w:rPr>
      </w:pPr>
    </w:p>
    <w:p w14:paraId="165378EA" w14:textId="77777777" w:rsidR="00852440" w:rsidRDefault="00000000">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1B5267F3" w14:textId="77777777" w:rsidR="00852440" w:rsidRDefault="00000000">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Podpis úřední osoby s uvedením</w:t>
      </w:r>
    </w:p>
    <w:p w14:paraId="436A9EEF" w14:textId="77777777" w:rsidR="00852440" w:rsidRDefault="00000000">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jména a pracovního zařazení</w:t>
      </w:r>
    </w:p>
    <w:p w14:paraId="6C5FFF81" w14:textId="77777777" w:rsidR="00852440" w:rsidRDefault="00852440">
      <w:pPr>
        <w:spacing w:after="0" w:line="240" w:lineRule="auto"/>
        <w:jc w:val="right"/>
        <w:rPr>
          <w:rFonts w:ascii="Times New Roman" w:eastAsia="Times New Roman" w:hAnsi="Times New Roman" w:cs="Times New Roman"/>
          <w:color w:val="000000"/>
          <w:sz w:val="24"/>
          <w:szCs w:val="24"/>
        </w:rPr>
      </w:pPr>
    </w:p>
    <w:p w14:paraId="39D9D90C" w14:textId="77777777" w:rsidR="00852440" w:rsidRDefault="00852440">
      <w:pPr>
        <w:spacing w:after="0" w:line="240" w:lineRule="auto"/>
        <w:rPr>
          <w:rFonts w:ascii="Times New Roman" w:eastAsia="Times New Roman" w:hAnsi="Times New Roman" w:cs="Times New Roman"/>
          <w:color w:val="000000"/>
          <w:sz w:val="24"/>
          <w:szCs w:val="24"/>
        </w:rPr>
      </w:pPr>
    </w:p>
    <w:p w14:paraId="75686B76" w14:textId="77777777" w:rsidR="00852440" w:rsidRDefault="00852440">
      <w:pPr>
        <w:spacing w:after="0" w:line="240" w:lineRule="auto"/>
        <w:rPr>
          <w:rFonts w:ascii="Times New Roman" w:eastAsia="Times New Roman" w:hAnsi="Times New Roman" w:cs="Times New Roman"/>
          <w:color w:val="000000"/>
          <w:sz w:val="24"/>
          <w:szCs w:val="24"/>
        </w:rPr>
      </w:pPr>
    </w:p>
    <w:p w14:paraId="41EF805C" w14:textId="77777777" w:rsidR="00852440"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 případě bezvýsledné exekuce žádáme o písemné sdělení s uvedením důvodu.</w:t>
      </w:r>
    </w:p>
    <w:p w14:paraId="1C1C11E1" w14:textId="77777777" w:rsidR="00852440" w:rsidRDefault="00852440">
      <w:pPr>
        <w:spacing w:after="0" w:line="240" w:lineRule="auto"/>
        <w:rPr>
          <w:rFonts w:ascii="Times New Roman" w:eastAsia="Times New Roman" w:hAnsi="Times New Roman" w:cs="Times New Roman"/>
          <w:color w:val="000000"/>
          <w:sz w:val="24"/>
          <w:szCs w:val="24"/>
        </w:rPr>
      </w:pPr>
    </w:p>
    <w:p w14:paraId="7BE6B103" w14:textId="77777777" w:rsidR="00852440" w:rsidRDefault="00852440">
      <w:pPr>
        <w:spacing w:after="0" w:line="240" w:lineRule="auto"/>
        <w:rPr>
          <w:rFonts w:ascii="Times New Roman" w:eastAsia="Times New Roman" w:hAnsi="Times New Roman" w:cs="Times New Roman"/>
          <w:color w:val="000000"/>
          <w:sz w:val="24"/>
          <w:szCs w:val="24"/>
        </w:rPr>
      </w:pPr>
    </w:p>
    <w:p w14:paraId="5C21BCD8" w14:textId="77777777" w:rsidR="00852440"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Rozdělovník:</w:t>
      </w:r>
    </w:p>
    <w:p w14:paraId="155694F2" w14:textId="77777777" w:rsidR="00852440"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359CBFA9" w14:textId="77777777" w:rsidR="00852440"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10128EC2" w14:textId="77777777" w:rsidR="001229C9" w:rsidRDefault="001229C9">
      <w:pPr>
        <w:spacing w:after="0" w:line="240" w:lineRule="auto"/>
        <w:rPr>
          <w:rFonts w:ascii="Times New Roman" w:eastAsia="Times New Roman" w:hAnsi="Times New Roman" w:cs="Times New Roman"/>
          <w:color w:val="000000"/>
          <w:sz w:val="24"/>
          <w:szCs w:val="24"/>
        </w:rPr>
      </w:pPr>
    </w:p>
    <w:p w14:paraId="6E2926A6" w14:textId="57C9C16B" w:rsidR="001229C9" w:rsidRPr="001229C9" w:rsidRDefault="001229C9">
      <w:pPr>
        <w:spacing w:after="0" w:line="240" w:lineRule="auto"/>
        <w:rPr>
          <w:rFonts w:ascii="Times New Roman" w:eastAsia="Times New Roman" w:hAnsi="Times New Roman" w:cs="Times New Roman"/>
          <w:i/>
          <w:iCs/>
          <w:color w:val="000000"/>
          <w:sz w:val="24"/>
          <w:szCs w:val="24"/>
        </w:rPr>
      </w:pPr>
    </w:p>
    <w:sectPr w:rsidR="001229C9" w:rsidRPr="001229C9">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440"/>
    <w:rsid w:val="001229C9"/>
    <w:rsid w:val="00526525"/>
    <w:rsid w:val="00852440"/>
    <w:rsid w:val="009A2752"/>
    <w:rsid w:val="00B63B13"/>
    <w:rsid w:val="00E95E2F"/>
    <w:rsid w:val="00EE18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BF490"/>
  <w15:docId w15:val="{16E86A5D-2543-4619-8492-5434F924C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820</Words>
  <Characters>4838</Characters>
  <Application>Microsoft Office Word</Application>
  <DocSecurity>0</DocSecurity>
  <Lines>40</Lines>
  <Paragraphs>11</Paragraphs>
  <ScaleCrop>false</ScaleCrop>
  <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Vlastimil Veselý</cp:lastModifiedBy>
  <cp:revision>2</cp:revision>
  <dcterms:created xsi:type="dcterms:W3CDTF">2025-07-01T08:39:00Z</dcterms:created>
  <dcterms:modified xsi:type="dcterms:W3CDTF">2025-07-01T08:39:00Z</dcterms:modified>
</cp:coreProperties>
</file>