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5ABF" w14:textId="77777777" w:rsidR="00527607" w:rsidRDefault="00527607">
      <w:pPr>
        <w:tabs>
          <w:tab w:val="left" w:pos="4500"/>
          <w:tab w:val="left" w:pos="5876"/>
        </w:tabs>
        <w:ind w:left="4956"/>
        <w:jc w:val="both"/>
        <w:rPr>
          <w:rFonts w:ascii="Arial" w:eastAsia="Arial" w:hAnsi="Arial" w:cs="Arial"/>
          <w:color w:val="000000"/>
          <w:sz w:val="22"/>
          <w:szCs w:val="22"/>
        </w:rPr>
      </w:pPr>
    </w:p>
    <w:p w14:paraId="48831F3D" w14:textId="77777777" w:rsidR="00527607" w:rsidRDefault="00000000">
      <w:pPr>
        <w:tabs>
          <w:tab w:val="left" w:pos="4536"/>
        </w:tabs>
      </w:pPr>
      <w:r>
        <w:t>Příjemce rozhodnutí:</w:t>
      </w:r>
      <w:r>
        <w:tab/>
        <w:t>jméno a příjmení</w:t>
      </w:r>
    </w:p>
    <w:p w14:paraId="6952366F" w14:textId="77777777" w:rsidR="00527607" w:rsidRDefault="00000000">
      <w:pPr>
        <w:tabs>
          <w:tab w:val="left" w:pos="4536"/>
        </w:tabs>
      </w:pPr>
      <w:r>
        <w:tab/>
        <w:t>ulice (část obce) a č.p./sídlo</w:t>
      </w:r>
    </w:p>
    <w:p w14:paraId="11FF20E9" w14:textId="77777777" w:rsidR="00527607" w:rsidRDefault="00000000">
      <w:pPr>
        <w:tabs>
          <w:tab w:val="left" w:pos="4536"/>
        </w:tabs>
      </w:pPr>
      <w:r>
        <w:tab/>
        <w:t>PSČ a obec</w:t>
      </w:r>
    </w:p>
    <w:p w14:paraId="039E434B" w14:textId="77777777" w:rsidR="00527607" w:rsidRDefault="00000000">
      <w:pPr>
        <w:tabs>
          <w:tab w:val="left" w:pos="4536"/>
        </w:tabs>
        <w:jc w:val="both"/>
      </w:pPr>
      <w:r>
        <w:tab/>
      </w:r>
      <w:proofErr w:type="spellStart"/>
      <w:r>
        <w:t>r.č</w:t>
      </w:r>
      <w:proofErr w:type="spellEnd"/>
      <w:r>
        <w:t xml:space="preserve">.: </w:t>
      </w:r>
    </w:p>
    <w:p w14:paraId="69885402" w14:textId="77777777" w:rsidR="00527607" w:rsidRDefault="00527607">
      <w:pPr>
        <w:tabs>
          <w:tab w:val="left" w:pos="4536"/>
        </w:tabs>
      </w:pPr>
    </w:p>
    <w:p w14:paraId="2E0BC0AC" w14:textId="77777777" w:rsidR="00527607" w:rsidRDefault="00527607"/>
    <w:p w14:paraId="13EB4833" w14:textId="77777777" w:rsidR="00527607" w:rsidRDefault="00527607"/>
    <w:p w14:paraId="443D8B78" w14:textId="77777777" w:rsidR="00527607" w:rsidRDefault="00000000">
      <w:pPr>
        <w:tabs>
          <w:tab w:val="left" w:pos="4536"/>
          <w:tab w:val="left" w:pos="4820"/>
        </w:tabs>
        <w:rPr>
          <w:rFonts w:ascii="Calibri" w:eastAsia="Calibri" w:hAnsi="Calibri" w:cs="Calibri"/>
          <w:sz w:val="22"/>
          <w:szCs w:val="22"/>
        </w:rPr>
      </w:pPr>
      <w:r>
        <w:t>Č.j.:</w:t>
      </w:r>
      <w:r>
        <w:tab/>
        <w:t>Vyřizuje:</w:t>
      </w:r>
      <w:r>
        <w:tab/>
      </w:r>
      <w:r>
        <w:tab/>
      </w:r>
      <w:r>
        <w:tab/>
      </w:r>
      <w:r>
        <w:tab/>
      </w:r>
    </w:p>
    <w:p w14:paraId="081C4441" w14:textId="77777777" w:rsidR="00527607" w:rsidRDefault="00000000">
      <w:pPr>
        <w:tabs>
          <w:tab w:val="left" w:pos="4536"/>
          <w:tab w:val="left" w:pos="4820"/>
        </w:tabs>
      </w:pPr>
      <w:proofErr w:type="spellStart"/>
      <w:r>
        <w:t>Sp</w:t>
      </w:r>
      <w:proofErr w:type="spellEnd"/>
      <w:r>
        <w:t>. zn.:</w:t>
      </w:r>
      <w:r>
        <w:tab/>
        <w:t>Telefon:</w:t>
      </w:r>
    </w:p>
    <w:p w14:paraId="3F7313EE" w14:textId="77777777" w:rsidR="00527607" w:rsidRDefault="00000000">
      <w:pPr>
        <w:tabs>
          <w:tab w:val="left" w:pos="4536"/>
          <w:tab w:val="left" w:pos="4820"/>
        </w:tabs>
      </w:pPr>
      <w:r>
        <w:t>Vaše značka:</w:t>
      </w:r>
      <w:r>
        <w:tab/>
        <w:t>E-mail:</w:t>
      </w:r>
    </w:p>
    <w:p w14:paraId="3CD072A5" w14:textId="77777777" w:rsidR="00527607" w:rsidRDefault="00000000">
      <w:pPr>
        <w:rPr>
          <w:sz w:val="20"/>
          <w:szCs w:val="20"/>
        </w:rPr>
      </w:pPr>
      <w:r>
        <w:rPr>
          <w:b/>
          <w:sz w:val="20"/>
          <w:szCs w:val="20"/>
        </w:rPr>
        <w:tab/>
      </w:r>
      <w:r>
        <w:rPr>
          <w:sz w:val="20"/>
          <w:szCs w:val="20"/>
        </w:rPr>
        <w:tab/>
      </w:r>
      <w:r>
        <w:rPr>
          <w:sz w:val="20"/>
          <w:szCs w:val="20"/>
        </w:rPr>
        <w:tab/>
      </w:r>
      <w:r>
        <w:rPr>
          <w:sz w:val="20"/>
          <w:szCs w:val="20"/>
        </w:rPr>
        <w:tab/>
      </w:r>
      <w:r>
        <w:rPr>
          <w:sz w:val="20"/>
          <w:szCs w:val="20"/>
        </w:rPr>
        <w:tab/>
      </w:r>
      <w:r>
        <w:rPr>
          <w:sz w:val="20"/>
          <w:szCs w:val="20"/>
        </w:rPr>
        <w:tab/>
      </w:r>
    </w:p>
    <w:p w14:paraId="23CAEDF9" w14:textId="77777777" w:rsidR="00527607" w:rsidRDefault="00000000">
      <w:pPr>
        <w:rPr>
          <w:sz w:val="20"/>
          <w:szCs w:val="20"/>
        </w:rPr>
      </w:pPr>
      <w:r>
        <w:rPr>
          <w:sz w:val="20"/>
          <w:szCs w:val="20"/>
        </w:rPr>
        <w:tab/>
      </w:r>
    </w:p>
    <w:p w14:paraId="3B182E9E" w14:textId="77777777" w:rsidR="00527607" w:rsidRDefault="00527607">
      <w:pPr>
        <w:rPr>
          <w:sz w:val="20"/>
          <w:szCs w:val="20"/>
        </w:rPr>
      </w:pPr>
    </w:p>
    <w:p w14:paraId="29C12FFA" w14:textId="77777777" w:rsidR="00527607" w:rsidRDefault="00000000">
      <w:r>
        <w:tab/>
      </w:r>
      <w:r>
        <w:tab/>
      </w:r>
      <w:r>
        <w:tab/>
      </w:r>
      <w:r>
        <w:tab/>
      </w:r>
      <w:r>
        <w:tab/>
      </w:r>
      <w:r>
        <w:tab/>
      </w:r>
      <w:r>
        <w:tab/>
      </w:r>
      <w:r>
        <w:tab/>
      </w:r>
      <w:r>
        <w:tab/>
      </w:r>
      <w:r>
        <w:tab/>
      </w:r>
    </w:p>
    <w:p w14:paraId="735A55B8" w14:textId="77777777" w:rsidR="00527607" w:rsidRDefault="00000000">
      <w:pPr>
        <w:rPr>
          <w:b/>
          <w:sz w:val="20"/>
          <w:szCs w:val="20"/>
        </w:rPr>
      </w:pPr>
      <w:r>
        <w:rPr>
          <w:b/>
          <w:sz w:val="20"/>
          <w:szCs w:val="20"/>
        </w:rPr>
        <w:t>VÁŠ DOPIS Č.J./ZE DNE</w:t>
      </w:r>
      <w:r>
        <w:rPr>
          <w:b/>
          <w:sz w:val="20"/>
          <w:szCs w:val="20"/>
        </w:rPr>
        <w:tab/>
        <w:t>NAŠE Č.J.</w:t>
      </w:r>
      <w:r>
        <w:rPr>
          <w:b/>
          <w:sz w:val="20"/>
          <w:szCs w:val="20"/>
        </w:rPr>
        <w:tab/>
      </w:r>
      <w:r>
        <w:rPr>
          <w:b/>
          <w:sz w:val="20"/>
          <w:szCs w:val="20"/>
        </w:rPr>
        <w:tab/>
        <w:t>VYŘIZUJE/LINKA</w:t>
      </w:r>
      <w:r>
        <w:rPr>
          <w:b/>
          <w:sz w:val="20"/>
          <w:szCs w:val="20"/>
        </w:rPr>
        <w:tab/>
      </w:r>
      <w:r>
        <w:rPr>
          <w:b/>
          <w:sz w:val="20"/>
          <w:szCs w:val="20"/>
        </w:rPr>
        <w:tab/>
        <w:t>KOPIDLNO</w:t>
      </w:r>
    </w:p>
    <w:p w14:paraId="6B97741E" w14:textId="77777777" w:rsidR="00527607" w:rsidRDefault="00000000">
      <w:r>
        <w:t xml:space="preserve"> </w:t>
      </w:r>
      <w:r>
        <w:tab/>
      </w:r>
      <w:r>
        <w:tab/>
      </w:r>
      <w:r>
        <w:tab/>
      </w:r>
    </w:p>
    <w:p w14:paraId="2C4EA1E7" w14:textId="77777777" w:rsidR="00527607" w:rsidRDefault="00527607">
      <w:pPr>
        <w:jc w:val="both"/>
      </w:pPr>
    </w:p>
    <w:p w14:paraId="5FA5F042" w14:textId="77777777" w:rsidR="00527607" w:rsidRDefault="00000000">
      <w:pPr>
        <w:jc w:val="center"/>
        <w:rPr>
          <w:b/>
          <w:sz w:val="40"/>
          <w:szCs w:val="40"/>
        </w:rPr>
      </w:pPr>
      <w:r>
        <w:rPr>
          <w:b/>
          <w:sz w:val="40"/>
          <w:szCs w:val="40"/>
        </w:rPr>
        <w:t>Exekuční příkaz</w:t>
      </w:r>
    </w:p>
    <w:p w14:paraId="7BFF0FE8" w14:textId="77777777" w:rsidR="00527607" w:rsidRDefault="00000000">
      <w:pPr>
        <w:jc w:val="center"/>
      </w:pPr>
      <w:r>
        <w:t>podle § 178 odst. 5 písm. e) zákona č. 280/2009 Sb., daňový řád</w:t>
      </w:r>
    </w:p>
    <w:p w14:paraId="031221C2" w14:textId="77777777" w:rsidR="00527607" w:rsidRDefault="00527607">
      <w:pPr>
        <w:jc w:val="center"/>
      </w:pPr>
    </w:p>
    <w:p w14:paraId="69A5C74C" w14:textId="77777777" w:rsidR="00527607" w:rsidRDefault="00527607">
      <w:pPr>
        <w:jc w:val="both"/>
      </w:pPr>
    </w:p>
    <w:p w14:paraId="17DB94D1" w14:textId="77777777" w:rsidR="00527607" w:rsidRDefault="00000000">
      <w:pPr>
        <w:jc w:val="both"/>
      </w:pPr>
      <w:r>
        <w:t>Městský úřad …………..., finanční odbor, oprávněný podle § 175 zákona č. 280/2009 Sb., daňový řád, rozhodl podle § 178 odst. 5 písm. e) zákona č. 280/2009 Sb., daňový řád, s přiměřeným použitím zákona č. 99/1963 Sb., občanský soudní řád, ve znění pozdějších předpisů, k uspokojení splatné pohledávky oprávněného Městského úřadu Kopidlno v částce …</w:t>
      </w:r>
      <w:proofErr w:type="gramStart"/>
      <w:r>
        <w:t>…….</w:t>
      </w:r>
      <w:proofErr w:type="gramEnd"/>
      <w:r>
        <w:t>. Kč navýšené v souladu s § 182 a § 183 zákona č. 280/2009 Sb., daňový řád, o exekuční náklady v částce ……</w:t>
      </w:r>
      <w:proofErr w:type="gramStart"/>
      <w:r>
        <w:t>…….Kč  o</w:t>
      </w:r>
      <w:proofErr w:type="gramEnd"/>
      <w:r>
        <w:t xml:space="preserve"> </w:t>
      </w:r>
      <w:r>
        <w:rPr>
          <w:b/>
        </w:rPr>
        <w:t xml:space="preserve">nařízení exekuce </w:t>
      </w:r>
      <w:r>
        <w:t xml:space="preserve">přikázáním pohledávky </w:t>
      </w:r>
      <w:r>
        <w:rPr>
          <w:b/>
        </w:rPr>
        <w:t>prodejem movitých věcí</w:t>
      </w:r>
      <w:r>
        <w:t>.</w:t>
      </w:r>
    </w:p>
    <w:p w14:paraId="5DE8D71D" w14:textId="77777777" w:rsidR="00527607" w:rsidRDefault="00000000">
      <w:pPr>
        <w:jc w:val="both"/>
      </w:pPr>
      <w:r>
        <w:br/>
      </w:r>
    </w:p>
    <w:p w14:paraId="48914E6C" w14:textId="77777777" w:rsidR="00527607" w:rsidRDefault="00000000">
      <w:pPr>
        <w:jc w:val="both"/>
      </w:pPr>
      <w:r>
        <w:rPr>
          <w:u w:val="single"/>
        </w:rPr>
        <w:t>Odkaz na exekuční titul</w:t>
      </w:r>
      <w:r>
        <w:t xml:space="preserve"> </w:t>
      </w:r>
    </w:p>
    <w:p w14:paraId="097A6BBD" w14:textId="77777777" w:rsidR="00527607" w:rsidRDefault="00000000">
      <w:pPr>
        <w:jc w:val="both"/>
      </w:pPr>
      <w:r>
        <w:t xml:space="preserve">Exekuce je nařizována pro níže uvedené nedoplatky na místním poplatku za provoz systému shromažďování, sběru, přepravy, třídění, využívání a odstraňování komunálních odpadů dle ZMP: </w:t>
      </w:r>
    </w:p>
    <w:p w14:paraId="3883F7B8" w14:textId="77777777" w:rsidR="00527607" w:rsidRDefault="00000000">
      <w:pPr>
        <w:jc w:val="both"/>
      </w:pPr>
      <w:r>
        <w:br/>
      </w:r>
    </w:p>
    <w:tbl>
      <w:tblPr>
        <w:tblW w:w="8954" w:type="dxa"/>
        <w:tblInd w:w="-109" w:type="dxa"/>
        <w:tblLayout w:type="fixed"/>
        <w:tblCellMar>
          <w:top w:w="15" w:type="dxa"/>
          <w:left w:w="15" w:type="dxa"/>
          <w:bottom w:w="15" w:type="dxa"/>
          <w:right w:w="15" w:type="dxa"/>
        </w:tblCellMar>
        <w:tblLook w:val="04A0" w:firstRow="1" w:lastRow="0" w:firstColumn="1" w:lastColumn="0" w:noHBand="0" w:noVBand="1"/>
      </w:tblPr>
      <w:tblGrid>
        <w:gridCol w:w="2879"/>
        <w:gridCol w:w="2423"/>
        <w:gridCol w:w="2148"/>
        <w:gridCol w:w="1504"/>
      </w:tblGrid>
      <w:tr w:rsidR="00527607" w14:paraId="4F979B34" w14:textId="77777777">
        <w:trPr>
          <w:trHeight w:val="1"/>
        </w:trPr>
        <w:tc>
          <w:tcPr>
            <w:tcW w:w="28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C32151" w14:textId="77777777" w:rsidR="00527607" w:rsidRDefault="00000000">
            <w:pPr>
              <w:widowControl w:val="0"/>
              <w:jc w:val="both"/>
            </w:pPr>
            <w:r>
              <w:rPr>
                <w:b/>
                <w:bCs/>
              </w:rPr>
              <w:t>Platební výměr č.j.</w:t>
            </w:r>
            <w:r>
              <w:t xml:space="preserve"> </w:t>
            </w:r>
          </w:p>
        </w:tc>
        <w:tc>
          <w:tcPr>
            <w:tcW w:w="24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E1E13E" w14:textId="77777777" w:rsidR="00527607" w:rsidRDefault="00000000">
            <w:pPr>
              <w:widowControl w:val="0"/>
              <w:jc w:val="both"/>
            </w:pPr>
            <w:r>
              <w:rPr>
                <w:b/>
                <w:bCs/>
              </w:rPr>
              <w:t>Místní poplatek</w:t>
            </w:r>
            <w:r>
              <w:t xml:space="preserve">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ABF92" w14:textId="77777777" w:rsidR="00527607" w:rsidRDefault="00000000">
            <w:pPr>
              <w:widowControl w:val="0"/>
              <w:jc w:val="both"/>
            </w:pPr>
            <w:r>
              <w:rPr>
                <w:b/>
                <w:bCs/>
              </w:rPr>
              <w:t xml:space="preserve">Příslušenství* </w:t>
            </w:r>
          </w:p>
        </w:tc>
        <w:tc>
          <w:tcPr>
            <w:tcW w:w="15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E418C9" w14:textId="77777777" w:rsidR="00527607" w:rsidRDefault="00000000">
            <w:pPr>
              <w:widowControl w:val="0"/>
              <w:jc w:val="both"/>
            </w:pPr>
            <w:r>
              <w:rPr>
                <w:b/>
                <w:bCs/>
              </w:rPr>
              <w:t>Splatnost</w:t>
            </w:r>
            <w:r>
              <w:t xml:space="preserve"> </w:t>
            </w:r>
          </w:p>
        </w:tc>
      </w:tr>
      <w:tr w:rsidR="00527607" w14:paraId="48C2B8B7" w14:textId="77777777">
        <w:trPr>
          <w:trHeight w:val="1"/>
        </w:trPr>
        <w:tc>
          <w:tcPr>
            <w:tcW w:w="28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29FEF9" w14:textId="77777777" w:rsidR="00527607" w:rsidRDefault="00527607">
            <w:pPr>
              <w:widowControl w:val="0"/>
              <w:jc w:val="both"/>
            </w:pPr>
          </w:p>
        </w:tc>
        <w:tc>
          <w:tcPr>
            <w:tcW w:w="24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274B36" w14:textId="77777777" w:rsidR="00527607" w:rsidRDefault="00000000">
            <w:pPr>
              <w:widowControl w:val="0"/>
              <w:jc w:val="both"/>
            </w:pPr>
            <w:r>
              <w:t xml:space="preserve">Kč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7D054C" w14:textId="77777777" w:rsidR="00527607" w:rsidRDefault="00000000">
            <w:pPr>
              <w:widowControl w:val="0"/>
              <w:jc w:val="both"/>
            </w:pPr>
            <w:r>
              <w:t xml:space="preserve">Kč </w:t>
            </w:r>
          </w:p>
        </w:tc>
        <w:tc>
          <w:tcPr>
            <w:tcW w:w="15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4114AB" w14:textId="77777777" w:rsidR="00527607" w:rsidRDefault="00527607">
            <w:pPr>
              <w:widowControl w:val="0"/>
              <w:jc w:val="both"/>
            </w:pPr>
          </w:p>
        </w:tc>
      </w:tr>
      <w:tr w:rsidR="00527607" w14:paraId="72AA982F" w14:textId="77777777">
        <w:trPr>
          <w:trHeight w:val="1"/>
        </w:trPr>
        <w:tc>
          <w:tcPr>
            <w:tcW w:w="28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352117" w14:textId="77777777" w:rsidR="00527607" w:rsidRDefault="00527607">
            <w:pPr>
              <w:widowControl w:val="0"/>
              <w:jc w:val="both"/>
            </w:pPr>
          </w:p>
        </w:tc>
        <w:tc>
          <w:tcPr>
            <w:tcW w:w="24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35CAE" w14:textId="77777777" w:rsidR="00527607" w:rsidRDefault="00000000">
            <w:pPr>
              <w:widowControl w:val="0"/>
              <w:jc w:val="both"/>
            </w:pPr>
            <w:r>
              <w:t xml:space="preserve">Kč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47334A" w14:textId="77777777" w:rsidR="00527607" w:rsidRDefault="00000000">
            <w:pPr>
              <w:widowControl w:val="0"/>
              <w:jc w:val="both"/>
            </w:pPr>
            <w:r>
              <w:t xml:space="preserve">Kč </w:t>
            </w:r>
          </w:p>
        </w:tc>
        <w:tc>
          <w:tcPr>
            <w:tcW w:w="15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875A93" w14:textId="77777777" w:rsidR="00527607" w:rsidRDefault="00527607">
            <w:pPr>
              <w:widowControl w:val="0"/>
              <w:jc w:val="both"/>
            </w:pPr>
          </w:p>
        </w:tc>
      </w:tr>
      <w:tr w:rsidR="00527607" w14:paraId="45E90D4E" w14:textId="77777777">
        <w:trPr>
          <w:trHeight w:val="1"/>
        </w:trPr>
        <w:tc>
          <w:tcPr>
            <w:tcW w:w="28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D3AAA" w14:textId="77777777" w:rsidR="00527607" w:rsidRDefault="00527607">
            <w:pPr>
              <w:widowControl w:val="0"/>
              <w:jc w:val="both"/>
            </w:pPr>
          </w:p>
        </w:tc>
        <w:tc>
          <w:tcPr>
            <w:tcW w:w="24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E03B56" w14:textId="77777777" w:rsidR="00527607" w:rsidRDefault="00000000">
            <w:pPr>
              <w:widowControl w:val="0"/>
              <w:jc w:val="both"/>
            </w:pPr>
            <w:r>
              <w:t xml:space="preserve">Kč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513931" w14:textId="77777777" w:rsidR="00527607" w:rsidRDefault="00000000">
            <w:pPr>
              <w:widowControl w:val="0"/>
              <w:jc w:val="both"/>
            </w:pPr>
            <w:r>
              <w:t xml:space="preserve">Kč </w:t>
            </w:r>
          </w:p>
        </w:tc>
        <w:tc>
          <w:tcPr>
            <w:tcW w:w="15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0BFCAB" w14:textId="77777777" w:rsidR="00527607" w:rsidRDefault="00527607">
            <w:pPr>
              <w:widowControl w:val="0"/>
              <w:jc w:val="both"/>
            </w:pPr>
          </w:p>
        </w:tc>
      </w:tr>
    </w:tbl>
    <w:p w14:paraId="18B03371" w14:textId="77777777" w:rsidR="00527607" w:rsidRDefault="00000000">
      <w:pPr>
        <w:jc w:val="both"/>
      </w:pPr>
      <w:r>
        <w:t xml:space="preserve">* včas nezaplacené nebo neodvedené poplatky nebo část těchto poplatků může obecní úřad zvýšit až na trojnásobek; toto zvýšení je příslušenstvím poplatku (§11 odst. 3 ZMP) </w:t>
      </w:r>
    </w:p>
    <w:p w14:paraId="3AB2422E" w14:textId="77777777" w:rsidR="00527607" w:rsidRDefault="00000000">
      <w:pPr>
        <w:jc w:val="both"/>
      </w:pPr>
      <w:r>
        <w:br/>
      </w:r>
    </w:p>
    <w:p w14:paraId="63A1A72A" w14:textId="77777777" w:rsidR="00527607" w:rsidRDefault="00000000">
      <w:pPr>
        <w:jc w:val="both"/>
      </w:pPr>
      <w:r>
        <w:rPr>
          <w:u w:val="single"/>
        </w:rPr>
        <w:t>Exekuční náklady</w:t>
      </w:r>
      <w:r>
        <w:t xml:space="preserve"> </w:t>
      </w:r>
    </w:p>
    <w:p w14:paraId="4B96E8E6" w14:textId="77777777" w:rsidR="00527607" w:rsidRDefault="00000000">
      <w:pPr>
        <w:jc w:val="both"/>
      </w:pPr>
      <w:r>
        <w:t xml:space="preserve">Exekuční náklady za nařízení daňové exekuce činí 500,- Kč a vymáhají se současně s nedoplatkem, pro který je exekuce nařízena (§ 182 odst. 6 a § 183 odst. 1 daňového řádu). </w:t>
      </w:r>
    </w:p>
    <w:p w14:paraId="777195F2" w14:textId="77777777" w:rsidR="00527607" w:rsidRDefault="00000000">
      <w:pPr>
        <w:jc w:val="both"/>
      </w:pPr>
      <w:r>
        <w:br/>
      </w:r>
    </w:p>
    <w:p w14:paraId="5B924F50" w14:textId="77777777" w:rsidR="00527607" w:rsidRDefault="00000000">
      <w:pPr>
        <w:jc w:val="center"/>
      </w:pPr>
      <w:r>
        <w:rPr>
          <w:b/>
          <w:bCs/>
        </w:rPr>
        <w:lastRenderedPageBreak/>
        <w:t>ODŮVODNĚNÍ</w:t>
      </w:r>
    </w:p>
    <w:p w14:paraId="16F98735" w14:textId="77777777" w:rsidR="00527607" w:rsidRDefault="00000000">
      <w:pPr>
        <w:jc w:val="both"/>
      </w:pPr>
      <w:r>
        <w:t xml:space="preserve">Správce daně stanovil dlužníkovi peněžité plnění vykonatelným/i rozhodnutím/i uvedeným/i ve výroku tohoto rozhodnutí. Dlužník peněžité plnění ve stanovené lhůtě nesplnil. Dlužník dále do dnešního dne nepodal správci daně žádné vysvětlení ani neučinil jiné kroky, které by správce daně před vydáním exekučního příkazu mohl zohlednit. V souladu s ustanovením § 175 daňového řádu proto správce daně přistupuje k vymožení vykonatelných nedoplatků touto daňovou exekucí. </w:t>
      </w:r>
    </w:p>
    <w:p w14:paraId="7DC4B93E" w14:textId="77777777" w:rsidR="00527607" w:rsidRDefault="00000000">
      <w:pPr>
        <w:jc w:val="both"/>
      </w:pPr>
      <w:r>
        <w:br/>
      </w:r>
    </w:p>
    <w:p w14:paraId="7F037A2D" w14:textId="77777777" w:rsidR="00527607" w:rsidRDefault="00000000">
      <w:pPr>
        <w:jc w:val="both"/>
      </w:pPr>
      <w:r>
        <w:t xml:space="preserve">Správce daně je podle ustanovení § 178 odst. 2 písm. c) daňového řádu povinen vyčíslit ve výroku exekučního příkazu výši exekučních nákladů. Podle ustanovení § 183 odst. 1 daňového řádu platí, že náklady za nařízení daňové exekuce činí </w:t>
      </w:r>
      <w:proofErr w:type="gramStart"/>
      <w:r>
        <w:t>2%</w:t>
      </w:r>
      <w:proofErr w:type="gramEnd"/>
      <w:r>
        <w:t xml:space="preserve"> z částky, pro kterou je daňová exekuce nařízena, nejméně však 500,- Kč. S ohledem na výši vymáhané částky správce daně vyčíslil exekuční náklady ve výši 500,- Kč. </w:t>
      </w:r>
    </w:p>
    <w:p w14:paraId="43731DE3" w14:textId="77777777" w:rsidR="00527607" w:rsidRDefault="00527607">
      <w:pPr>
        <w:jc w:val="both"/>
      </w:pPr>
    </w:p>
    <w:p w14:paraId="324E6BF3" w14:textId="77777777" w:rsidR="00527607" w:rsidRDefault="00000000">
      <w:pPr>
        <w:jc w:val="both"/>
      </w:pPr>
      <w:r>
        <w:rPr>
          <w:i/>
          <w:iCs/>
        </w:rPr>
        <w:t>Případně popsat další/jinou komunikaci s dlužníkem nebo jiné významné skutečnosti, které se daného řízení týkají.</w:t>
      </w:r>
      <w:r>
        <w:t xml:space="preserve"> </w:t>
      </w:r>
    </w:p>
    <w:p w14:paraId="059024FE" w14:textId="77777777" w:rsidR="00527607" w:rsidRDefault="00000000">
      <w:pPr>
        <w:jc w:val="both"/>
      </w:pPr>
      <w:r>
        <w:br/>
      </w:r>
    </w:p>
    <w:p w14:paraId="05E7E457" w14:textId="77777777" w:rsidR="00527607" w:rsidRDefault="00000000">
      <w:pPr>
        <w:jc w:val="center"/>
      </w:pPr>
      <w:r>
        <w:rPr>
          <w:b/>
          <w:bCs/>
        </w:rPr>
        <w:t>POUČENÍ</w:t>
      </w:r>
    </w:p>
    <w:p w14:paraId="2C2F9CB2" w14:textId="77777777" w:rsidR="00527607" w:rsidRDefault="00000000">
      <w:pPr>
        <w:jc w:val="both"/>
      </w:pPr>
      <w:r>
        <w:t>Okamžikem oznámení exekučního příkazu nesmí dlužník nemovitost převést na jinou osobu nebo ji zatížit. Právní úkon, kterým dlužník porušil tuto povinnost, je neplatný. Dlužník je povinen do 15 dnů od okamžiku, kdy mu byl exekuční příkaz oznámen, správci daně oznámit, zda a kdo má k nemovitosti předkupní právo, jiná práva a závady spojené s nemovitostí; pokud dlužník tuto povinnost nesplní, odpovídá za škodu tím způsobenou. (§ 219 zákona       č. 280/2009 Sb., daňový řád)</w:t>
      </w:r>
    </w:p>
    <w:p w14:paraId="399B3042" w14:textId="77777777" w:rsidR="00527607" w:rsidRDefault="00527607">
      <w:pPr>
        <w:jc w:val="both"/>
      </w:pPr>
    </w:p>
    <w:p w14:paraId="1197146B" w14:textId="77777777" w:rsidR="00527607" w:rsidRDefault="00000000">
      <w:pPr>
        <w:jc w:val="both"/>
      </w:pPr>
      <w:r>
        <w:rPr>
          <w:b/>
          <w:bCs/>
        </w:rPr>
        <w:t>Nesplní-li poddlužník povinnost</w:t>
      </w:r>
      <w:r>
        <w:t xml:space="preserve"> stanovenou mu exekučním příkazem a zákonem řádně a včas, má správce daně nárok na její splnění z prostředků tohoto poddlužníka; tento nárok správce daně uplatní podáním žaloby k soudu (§186 odst. 3 daňového řádu). </w:t>
      </w:r>
    </w:p>
    <w:p w14:paraId="6BF70870" w14:textId="77777777" w:rsidR="00527607" w:rsidRDefault="00527607">
      <w:pPr>
        <w:jc w:val="both"/>
      </w:pPr>
    </w:p>
    <w:p w14:paraId="7F0B9A08" w14:textId="77777777" w:rsidR="00527607" w:rsidRDefault="00000000">
      <w:pPr>
        <w:jc w:val="both"/>
      </w:pPr>
      <w:r>
        <w:rPr>
          <w:b/>
          <w:bCs/>
        </w:rPr>
        <w:t>Úřední osoby a osoby zúčastněné na správě daní</w:t>
      </w:r>
      <w:r>
        <w:t xml:space="preserve">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 </w:t>
      </w:r>
    </w:p>
    <w:p w14:paraId="7B213417" w14:textId="77777777" w:rsidR="00527607" w:rsidRDefault="00527607">
      <w:pPr>
        <w:jc w:val="both"/>
      </w:pPr>
    </w:p>
    <w:p w14:paraId="43D85B0E" w14:textId="77777777" w:rsidR="00527607" w:rsidRDefault="00000000">
      <w:pPr>
        <w:jc w:val="both"/>
      </w:pPr>
      <w:r>
        <w:rPr>
          <w:b/>
          <w:bCs/>
        </w:rPr>
        <w:t>Pořádkovou pokutu</w:t>
      </w:r>
      <w:r>
        <w:t xml:space="preserve"> do 500 000 Kč může správce daně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 </w:t>
      </w:r>
    </w:p>
    <w:p w14:paraId="5E29F5EF" w14:textId="77777777" w:rsidR="00527607" w:rsidRDefault="00527607">
      <w:pPr>
        <w:jc w:val="both"/>
      </w:pPr>
    </w:p>
    <w:p w14:paraId="0ACCC777" w14:textId="77777777" w:rsidR="00527607" w:rsidRDefault="00000000">
      <w:pPr>
        <w:jc w:val="both"/>
      </w:pPr>
      <w:r>
        <w:rPr>
          <w:b/>
          <w:bCs/>
        </w:rPr>
        <w:t>Správce daně</w:t>
      </w:r>
      <w:r>
        <w:t xml:space="preserve"> je podle </w:t>
      </w:r>
      <w:proofErr w:type="spellStart"/>
      <w:r>
        <w:t>ust</w:t>
      </w:r>
      <w:proofErr w:type="spellEnd"/>
      <w:r>
        <w:t xml:space="preserve">. § 247a odst. 1 písm. a) daňového řádu oprávněn uložit pokutu tomu, kdo nesplní registrační, ohlašovací nebo jinou oznamovací povinnost, stanovenou daňovým zákonem nebo správcem poplatku. </w:t>
      </w:r>
    </w:p>
    <w:p w14:paraId="6D0CDA73" w14:textId="77777777" w:rsidR="00527607" w:rsidRDefault="00527607">
      <w:pPr>
        <w:jc w:val="both"/>
      </w:pPr>
    </w:p>
    <w:p w14:paraId="21254CCA" w14:textId="77777777" w:rsidR="00527607" w:rsidRDefault="00000000">
      <w:pPr>
        <w:jc w:val="both"/>
      </w:pPr>
      <w:r>
        <w:rPr>
          <w:b/>
          <w:bCs/>
        </w:rPr>
        <w:t>Zpracování osobních údajů</w:t>
      </w:r>
      <w:r>
        <w:t xml:space="preserve"> se řídí </w:t>
      </w:r>
      <w:proofErr w:type="spellStart"/>
      <w:r>
        <w:t>ust</w:t>
      </w:r>
      <w:proofErr w:type="spellEnd"/>
      <w:r>
        <w:t>. § 59a daňového řádu a ostatní informace o zpracování osobních údajů jsou dostupné na adrese: www………</w:t>
      </w:r>
      <w:proofErr w:type="gramStart"/>
      <w:r>
        <w:t>…….</w:t>
      </w:r>
      <w:proofErr w:type="gramEnd"/>
      <w:r>
        <w:t xml:space="preserve">. </w:t>
      </w:r>
    </w:p>
    <w:p w14:paraId="2EFFA126" w14:textId="77777777" w:rsidR="00527607" w:rsidRDefault="00527607">
      <w:pPr>
        <w:jc w:val="both"/>
      </w:pPr>
    </w:p>
    <w:p w14:paraId="1FD5F863" w14:textId="5BA6D615" w:rsidR="00527607" w:rsidRDefault="00000000">
      <w:pPr>
        <w:jc w:val="both"/>
      </w:pPr>
      <w:r>
        <w:lastRenderedPageBreak/>
        <w:t xml:space="preserve">Proti tomuto rozhodnutí </w:t>
      </w:r>
      <w:r>
        <w:rPr>
          <w:b/>
          <w:bCs/>
        </w:rPr>
        <w:t>nelze uplatnit opravné prostředky</w:t>
      </w:r>
      <w:r>
        <w:t xml:space="preserve"> </w:t>
      </w:r>
      <w:r w:rsidR="002A2154" w:rsidRPr="002A2154">
        <w:rPr>
          <w:b/>
          <w:bCs/>
        </w:rPr>
        <w:t>ani námitku</w:t>
      </w:r>
      <w:r w:rsidR="002A2154">
        <w:t xml:space="preserve"> </w:t>
      </w:r>
      <w:r>
        <w:t xml:space="preserve">(§ 178 odst. 4 daňového řádu). </w:t>
      </w:r>
    </w:p>
    <w:p w14:paraId="6B526B0F" w14:textId="77777777" w:rsidR="00527607" w:rsidRDefault="00527607">
      <w:pPr>
        <w:jc w:val="both"/>
      </w:pPr>
    </w:p>
    <w:p w14:paraId="53E20EEA" w14:textId="77777777" w:rsidR="00527607" w:rsidRDefault="00000000">
      <w:pPr>
        <w:jc w:val="both"/>
      </w:pPr>
      <w:r>
        <w:rPr>
          <w:b/>
          <w:bCs/>
          <w:i/>
          <w:iCs/>
        </w:rPr>
        <w:t>Dlužník</w:t>
      </w:r>
      <w:r>
        <w:rPr>
          <w:i/>
          <w:iCs/>
        </w:rPr>
        <w:t xml:space="preserve"> může podat návrh na zastavení daňové exekuce, pokud v daňové 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vzniklé při samostatném provozování obchodního závodu nebo jiné obdobné výdělečné činnosti podle zvláštního právního předpisu (§ 262c o.s.ř.). – alternativa při exekuci pokuty nezletilému</w:t>
      </w:r>
      <w:r>
        <w:t xml:space="preserve"> </w:t>
      </w:r>
    </w:p>
    <w:p w14:paraId="22631993" w14:textId="77777777" w:rsidR="00527607" w:rsidRDefault="00527607">
      <w:pPr>
        <w:jc w:val="both"/>
      </w:pPr>
    </w:p>
    <w:p w14:paraId="4ED8EBD3" w14:textId="77777777" w:rsidR="00527607" w:rsidRDefault="00000000">
      <w:pPr>
        <w:jc w:val="both"/>
      </w:pPr>
      <w:r>
        <w:rPr>
          <w:b/>
          <w:bCs/>
        </w:rPr>
        <w:t xml:space="preserve">Správce daně </w:t>
      </w:r>
      <w:r>
        <w:t>může daňovou exekuci na návrh dlužníka</w:t>
      </w:r>
      <w:r>
        <w:rPr>
          <w:b/>
          <w:bCs/>
        </w:rPr>
        <w:t xml:space="preserve"> částečně nebo zcela odložit</w:t>
      </w:r>
      <w:r>
        <w:t xml:space="preserve">, zejména šetří-li skutečnosti rozhodné pro zastavení daňové exekuce (§ 181 odst. 1 daňového řádu). </w:t>
      </w:r>
    </w:p>
    <w:p w14:paraId="72DBEC2B" w14:textId="77777777" w:rsidR="00527607" w:rsidRDefault="00000000">
      <w:pPr>
        <w:jc w:val="both"/>
      </w:pPr>
      <w:r>
        <w:br/>
      </w:r>
    </w:p>
    <w:p w14:paraId="7A002AC0" w14:textId="77777777" w:rsidR="00527607" w:rsidRDefault="00000000">
      <w:pPr>
        <w:jc w:val="both"/>
      </w:pPr>
      <w:r>
        <w:t>Datum podpisu rozhodnutí ……………</w:t>
      </w:r>
      <w:proofErr w:type="gramStart"/>
      <w:r>
        <w:t>…….</w:t>
      </w:r>
      <w:proofErr w:type="gramEnd"/>
      <w:r>
        <w:t xml:space="preserve">. </w:t>
      </w:r>
    </w:p>
    <w:p w14:paraId="7374EEC6" w14:textId="77777777" w:rsidR="00527607" w:rsidRDefault="00000000">
      <w:pPr>
        <w:jc w:val="both"/>
      </w:pPr>
      <w:r>
        <w:br/>
      </w:r>
    </w:p>
    <w:p w14:paraId="67F918D7" w14:textId="77777777" w:rsidR="00527607" w:rsidRDefault="00000000">
      <w:pPr>
        <w:pStyle w:val="Normlnweb"/>
        <w:spacing w:beforeAutospacing="0" w:afterAutospacing="0"/>
        <w:jc w:val="center"/>
      </w:pPr>
      <w:r>
        <w:br/>
      </w:r>
      <w:r>
        <w:rPr>
          <w:rFonts w:ascii="Calibri" w:hAnsi="Calibri" w:cs="Calibri"/>
          <w:color w:val="000000"/>
          <w:sz w:val="22"/>
          <w:szCs w:val="22"/>
        </w:rPr>
        <w:t>otisk</w:t>
      </w:r>
    </w:p>
    <w:p w14:paraId="5A3AD422" w14:textId="77777777" w:rsidR="00527607" w:rsidRDefault="00000000">
      <w:pPr>
        <w:pStyle w:val="Normlnweb"/>
        <w:spacing w:beforeAutospacing="0" w:afterAutospacing="0"/>
        <w:jc w:val="center"/>
      </w:pPr>
      <w:r>
        <w:rPr>
          <w:rFonts w:ascii="Calibri" w:hAnsi="Calibri" w:cs="Calibri"/>
          <w:color w:val="000000"/>
          <w:sz w:val="22"/>
          <w:szCs w:val="22"/>
        </w:rPr>
        <w:t>úředního</w:t>
      </w:r>
    </w:p>
    <w:p w14:paraId="1DE90900" w14:textId="77777777" w:rsidR="00527607" w:rsidRDefault="00000000">
      <w:pPr>
        <w:pStyle w:val="Normlnweb"/>
        <w:spacing w:beforeAutospacing="0" w:afterAutospacing="0"/>
        <w:jc w:val="center"/>
      </w:pPr>
      <w:r>
        <w:rPr>
          <w:rFonts w:ascii="Calibri" w:hAnsi="Calibri" w:cs="Calibri"/>
          <w:color w:val="000000"/>
          <w:sz w:val="22"/>
          <w:szCs w:val="22"/>
        </w:rPr>
        <w:t>razítka</w:t>
      </w:r>
    </w:p>
    <w:p w14:paraId="100B0704" w14:textId="77777777" w:rsidR="00527607" w:rsidRDefault="00527607">
      <w:pPr>
        <w:jc w:val="both"/>
      </w:pPr>
    </w:p>
    <w:p w14:paraId="1218D8E8" w14:textId="77777777" w:rsidR="00527607" w:rsidRDefault="00527607">
      <w:pPr>
        <w:jc w:val="both"/>
      </w:pPr>
    </w:p>
    <w:p w14:paraId="5E45F573" w14:textId="77777777" w:rsidR="00527607" w:rsidRDefault="00527607">
      <w:pPr>
        <w:jc w:val="both"/>
      </w:pPr>
    </w:p>
    <w:p w14:paraId="3CE62D52" w14:textId="77777777" w:rsidR="00527607" w:rsidRDefault="00527607">
      <w:pPr>
        <w:jc w:val="both"/>
      </w:pPr>
    </w:p>
    <w:p w14:paraId="656575E2" w14:textId="77777777" w:rsidR="00527607" w:rsidRDefault="00000000">
      <w:pPr>
        <w:jc w:val="both"/>
      </w:pPr>
      <w:r>
        <w:t xml:space="preserve">………………………………………………….. </w:t>
      </w:r>
    </w:p>
    <w:p w14:paraId="006849CE" w14:textId="77777777" w:rsidR="00527607" w:rsidRDefault="00000000">
      <w:pPr>
        <w:jc w:val="both"/>
      </w:pPr>
      <w:r>
        <w:t xml:space="preserve">Podpis úřední osoby s uvedením </w:t>
      </w:r>
    </w:p>
    <w:p w14:paraId="3BE40A20" w14:textId="77777777" w:rsidR="00527607" w:rsidRDefault="00000000">
      <w:pPr>
        <w:jc w:val="both"/>
      </w:pPr>
      <w:r>
        <w:t xml:space="preserve">jména a pracovního zařazení </w:t>
      </w:r>
    </w:p>
    <w:p w14:paraId="36654080" w14:textId="77777777" w:rsidR="00527607" w:rsidRDefault="00000000">
      <w:pPr>
        <w:jc w:val="both"/>
      </w:pPr>
      <w:r>
        <w:br/>
      </w:r>
    </w:p>
    <w:p w14:paraId="65682C50" w14:textId="77777777" w:rsidR="00527607" w:rsidRDefault="00000000">
      <w:pPr>
        <w:jc w:val="both"/>
      </w:pPr>
      <w:r>
        <w:t>-------------</w:t>
      </w:r>
      <w:r>
        <w:br/>
      </w:r>
    </w:p>
    <w:p w14:paraId="6878F3A5" w14:textId="77777777" w:rsidR="00527607" w:rsidRDefault="00000000">
      <w:pPr>
        <w:jc w:val="both"/>
      </w:pPr>
      <w:r>
        <w:t xml:space="preserve">V případě bezvýsledné exekuce žádáme o písemné sdělení o ukončení sledování exekuce s uvedením důvodu (účet blokován pro jiného oprávněného nebo je bez finančních prostředků příp. jiný). </w:t>
      </w:r>
    </w:p>
    <w:p w14:paraId="0327E114" w14:textId="77777777" w:rsidR="00527607" w:rsidRDefault="00000000">
      <w:pPr>
        <w:jc w:val="both"/>
      </w:pPr>
      <w:r>
        <w:br/>
      </w:r>
    </w:p>
    <w:p w14:paraId="2BF27177" w14:textId="77777777" w:rsidR="00527607" w:rsidRDefault="00000000">
      <w:pPr>
        <w:jc w:val="both"/>
      </w:pPr>
      <w:r>
        <w:t xml:space="preserve">Rozdělovník: </w:t>
      </w:r>
    </w:p>
    <w:p w14:paraId="0EF7BABA" w14:textId="77777777" w:rsidR="00527607" w:rsidRDefault="00000000">
      <w:pPr>
        <w:jc w:val="both"/>
      </w:pPr>
      <w:r>
        <w:t xml:space="preserve">……………………………………………. </w:t>
      </w:r>
    </w:p>
    <w:p w14:paraId="50C3298B" w14:textId="77777777" w:rsidR="00527607" w:rsidRDefault="00000000">
      <w:pPr>
        <w:jc w:val="both"/>
      </w:pPr>
      <w:r>
        <w:t>…………………………………………….</w:t>
      </w:r>
    </w:p>
    <w:p w14:paraId="6A1D8745" w14:textId="77777777" w:rsidR="00527607" w:rsidRDefault="00527607">
      <w:pPr>
        <w:jc w:val="both"/>
      </w:pPr>
    </w:p>
    <w:sectPr w:rsidR="00527607">
      <w:headerReference w:type="default" r:id="rId6"/>
      <w:footerReference w:type="default" r:id="rId7"/>
      <w:pgSz w:w="11906" w:h="16838"/>
      <w:pgMar w:top="1418" w:right="1418" w:bottom="1418" w:left="1418" w:header="0" w:footer="72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497E" w14:textId="77777777" w:rsidR="004D24F7" w:rsidRDefault="004D24F7">
      <w:r>
        <w:separator/>
      </w:r>
    </w:p>
  </w:endnote>
  <w:endnote w:type="continuationSeparator" w:id="0">
    <w:p w14:paraId="18DB2E29" w14:textId="77777777" w:rsidR="004D24F7" w:rsidRDefault="004D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EC3F" w14:textId="77777777" w:rsidR="00527607" w:rsidRDefault="00527607">
    <w:pPr>
      <w:ind w:left="2832" w:firstLine="708"/>
      <w:rPr>
        <w:b/>
        <w:sz w:val="20"/>
        <w:szCs w:val="20"/>
      </w:rPr>
    </w:pPr>
  </w:p>
  <w:p w14:paraId="7893273E" w14:textId="77777777" w:rsidR="00527607" w:rsidRDefault="00527607">
    <w:pPr>
      <w:ind w:left="2832"/>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0298" w14:textId="77777777" w:rsidR="004D24F7" w:rsidRDefault="004D24F7">
      <w:r>
        <w:separator/>
      </w:r>
    </w:p>
  </w:footnote>
  <w:footnote w:type="continuationSeparator" w:id="0">
    <w:p w14:paraId="292816D0" w14:textId="77777777" w:rsidR="004D24F7" w:rsidRDefault="004D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20F0" w14:textId="77777777" w:rsidR="00527607" w:rsidRDefault="00000000">
    <w:pPr>
      <w:jc w:val="center"/>
      <w:rPr>
        <w:i/>
        <w:color w:val="000000"/>
        <w:sz w:val="72"/>
        <w:szCs w:val="72"/>
      </w:rPr>
    </w:pPr>
    <w:r>
      <w:rPr>
        <w:i/>
        <w:color w:val="000000"/>
        <w:sz w:val="72"/>
        <w:szCs w:val="7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07"/>
    <w:rsid w:val="002A2154"/>
    <w:rsid w:val="004D24F7"/>
    <w:rsid w:val="00527607"/>
    <w:rsid w:val="00E95E2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C0B2"/>
  <w15:docId w15:val="{12F56994-0F16-43BD-AF37-AC08E41A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before="480"/>
      <w:outlineLvl w:val="0"/>
    </w:pPr>
    <w:rPr>
      <w:b/>
      <w:color w:val="345A8A"/>
      <w:sz w:val="32"/>
    </w:rPr>
  </w:style>
  <w:style w:type="paragraph" w:styleId="Nadpis2">
    <w:name w:val="heading 2"/>
    <w:basedOn w:val="Normln"/>
    <w:next w:val="Normln"/>
    <w:uiPriority w:val="9"/>
    <w:semiHidden/>
    <w:unhideWhenUsed/>
    <w:qFormat/>
    <w:pPr>
      <w:spacing w:before="200"/>
      <w:outlineLvl w:val="1"/>
    </w:pPr>
    <w:rPr>
      <w:b/>
      <w:color w:val="4F81BD"/>
      <w:sz w:val="26"/>
    </w:rPr>
  </w:style>
  <w:style w:type="paragraph" w:styleId="Nadpis3">
    <w:name w:val="heading 3"/>
    <w:basedOn w:val="Normln"/>
    <w:next w:val="Normln"/>
    <w:uiPriority w:val="9"/>
    <w:semiHidden/>
    <w:unhideWhenUsed/>
    <w:qFormat/>
    <w:pPr>
      <w:spacing w:before="200"/>
      <w:outlineLvl w:val="2"/>
    </w:pPr>
    <w:rPr>
      <w:b/>
      <w:color w:val="4F81BD"/>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spacing w:before="240" w:after="60"/>
      <w:outlineLvl w:val="4"/>
    </w:pPr>
    <w:rPr>
      <w:b/>
      <w:i/>
      <w:sz w:val="26"/>
      <w:szCs w:val="26"/>
    </w:rPr>
  </w:style>
  <w:style w:type="paragraph" w:styleId="Nadpis6">
    <w:name w:val="heading 6"/>
    <w:basedOn w:val="Normln"/>
    <w:next w:val="Normln"/>
    <w:uiPriority w:val="9"/>
    <w:semiHidden/>
    <w:unhideWhenUsed/>
    <w:qFormat/>
    <w:pP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rPr>
  </w:style>
  <w:style w:type="paragraph" w:styleId="Nzev">
    <w:name w:val="Title"/>
    <w:basedOn w:val="Normln"/>
    <w:next w:val="Normln"/>
    <w:uiPriority w:val="10"/>
    <w:qFormat/>
    <w:pPr>
      <w:spacing w:after="300"/>
    </w:pPr>
    <w:rPr>
      <w:color w:val="17365D"/>
      <w:sz w:val="52"/>
    </w:rPr>
  </w:style>
  <w:style w:type="paragraph" w:styleId="Podnadpis">
    <w:name w:val="Subtitle"/>
    <w:basedOn w:val="Normln"/>
    <w:next w:val="Normln"/>
    <w:uiPriority w:val="11"/>
    <w:qFormat/>
    <w:rPr>
      <w:i/>
      <w:color w:val="4F81BD"/>
    </w:rPr>
  </w:style>
  <w:style w:type="paragraph" w:styleId="Normlnweb">
    <w:name w:val="Normal (Web)"/>
    <w:basedOn w:val="Normln"/>
    <w:uiPriority w:val="99"/>
    <w:semiHidden/>
    <w:unhideWhenUsed/>
    <w:qFormat/>
    <w:rsid w:val="00A32E3C"/>
    <w:pPr>
      <w:spacing w:beforeAutospacing="1" w:afterAutospacing="1"/>
    </w:pPr>
  </w:style>
  <w:style w:type="paragraph" w:customStyle="1" w:styleId="HeaderandFooter">
    <w:name w:val="Header and Footer"/>
    <w:basedOn w:val="Normln"/>
    <w:qFormat/>
  </w:style>
  <w:style w:type="paragraph" w:styleId="Zhlav">
    <w:name w:val="header"/>
    <w:basedOn w:val="HeaderandFooter"/>
  </w:style>
  <w:style w:type="paragraph" w:styleId="Zpat">
    <w:name w:val="footer"/>
    <w:basedOn w:val="HeaderandFoote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4844</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Veselý</dc:creator>
  <dc:description/>
  <cp:lastModifiedBy>Vlastimil Veselý</cp:lastModifiedBy>
  <cp:revision>2</cp:revision>
  <dcterms:created xsi:type="dcterms:W3CDTF">2025-07-01T07:01:00Z</dcterms:created>
  <dcterms:modified xsi:type="dcterms:W3CDTF">2025-07-01T07:01:00Z</dcterms:modified>
  <dc:language>cs-CZ</dc:language>
</cp:coreProperties>
</file>