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83CD2" w14:textId="77777777" w:rsidR="0044515B" w:rsidRDefault="00000000">
      <w:pPr>
        <w:rPr>
          <w:color w:val="FF0000"/>
        </w:rPr>
      </w:pPr>
      <w:r>
        <w:rPr>
          <w:b/>
          <w:bCs/>
          <w:color w:val="FF0000"/>
        </w:rPr>
        <w:t>POZOR – zákonná povinnost doručit exekuční příkaz nejprve poddlužníkovi (§ 191 odst. 1 daňového řádu).</w:t>
      </w:r>
      <w:r>
        <w:rPr>
          <w:color w:val="FF0000"/>
        </w:rPr>
        <w:t xml:space="preserve"> </w:t>
      </w:r>
    </w:p>
    <w:p w14:paraId="1ED2447E" w14:textId="77777777" w:rsidR="0044515B" w:rsidRDefault="00000000">
      <w:r>
        <w:br/>
      </w:r>
      <w:r>
        <w:br/>
      </w:r>
    </w:p>
    <w:p w14:paraId="039A6786" w14:textId="77777777" w:rsidR="0044515B" w:rsidRDefault="00000000">
      <w:r>
        <w:t xml:space="preserve">Příjemci rozhodnutí: </w:t>
      </w:r>
    </w:p>
    <w:p w14:paraId="558239AC" w14:textId="77777777" w:rsidR="0044515B" w:rsidRDefault="00000000">
      <w:r>
        <w:rPr>
          <w:b/>
          <w:bCs/>
        </w:rPr>
        <w:br/>
      </w:r>
    </w:p>
    <w:p w14:paraId="7FEB6BF3" w14:textId="77777777" w:rsidR="0044515B" w:rsidRDefault="00000000">
      <w:r>
        <w:rPr>
          <w:b/>
          <w:bCs/>
        </w:rPr>
        <w:t>Dlužník:</w:t>
      </w:r>
      <w:r>
        <w:t xml:space="preserve"> jméno a příjmení </w:t>
      </w:r>
    </w:p>
    <w:p w14:paraId="05993BC6" w14:textId="77777777" w:rsidR="0044515B" w:rsidRDefault="00000000">
      <w:r>
        <w:t xml:space="preserve">ulice (část obce) a č.p./sídlo </w:t>
      </w:r>
    </w:p>
    <w:p w14:paraId="6296BD05" w14:textId="77777777" w:rsidR="0044515B" w:rsidRDefault="00000000">
      <w:r>
        <w:t xml:space="preserve">PSČ a obec </w:t>
      </w:r>
    </w:p>
    <w:p w14:paraId="4BDE5B75" w14:textId="77777777" w:rsidR="0044515B" w:rsidRDefault="00000000">
      <w:proofErr w:type="spellStart"/>
      <w:r>
        <w:t>r.č</w:t>
      </w:r>
      <w:proofErr w:type="spellEnd"/>
      <w:r>
        <w:t xml:space="preserve">.: </w:t>
      </w:r>
    </w:p>
    <w:p w14:paraId="2C676DE6" w14:textId="77777777" w:rsidR="0044515B" w:rsidRDefault="00000000">
      <w:r>
        <w:br/>
      </w:r>
    </w:p>
    <w:p w14:paraId="16EFD498" w14:textId="77777777" w:rsidR="0044515B" w:rsidRDefault="00000000">
      <w:r>
        <w:rPr>
          <w:b/>
          <w:bCs/>
        </w:rPr>
        <w:t xml:space="preserve">Poddlužník: </w:t>
      </w:r>
      <w:r>
        <w:t xml:space="preserve">název poddlužníka/jméno a příjmení </w:t>
      </w:r>
    </w:p>
    <w:p w14:paraId="09BB7C00" w14:textId="77777777" w:rsidR="0044515B" w:rsidRDefault="00000000">
      <w:r>
        <w:t xml:space="preserve">ulice (část obce) a č.p./sídlo </w:t>
      </w:r>
    </w:p>
    <w:p w14:paraId="7890C8FD" w14:textId="77777777" w:rsidR="0044515B" w:rsidRDefault="00000000">
      <w:r>
        <w:t xml:space="preserve">PSČ a obec </w:t>
      </w:r>
    </w:p>
    <w:p w14:paraId="657B8C91" w14:textId="77777777" w:rsidR="0044515B" w:rsidRDefault="00000000">
      <w:r>
        <w:t>IČ/</w:t>
      </w:r>
      <w:proofErr w:type="spellStart"/>
      <w:r>
        <w:t>r.č</w:t>
      </w:r>
      <w:proofErr w:type="spellEnd"/>
      <w:r>
        <w:t xml:space="preserve">.: </w:t>
      </w:r>
    </w:p>
    <w:p w14:paraId="4FCC7DDA" w14:textId="77777777" w:rsidR="0044515B" w:rsidRDefault="00000000">
      <w:r>
        <w:br/>
      </w:r>
      <w:r>
        <w:br/>
      </w:r>
    </w:p>
    <w:p w14:paraId="7304F29A" w14:textId="77777777" w:rsidR="0044515B" w:rsidRDefault="00000000">
      <w:r>
        <w:t xml:space="preserve">Č.j.: Vyřizuje: </w:t>
      </w:r>
    </w:p>
    <w:p w14:paraId="1FDBF90E" w14:textId="77777777" w:rsidR="0044515B" w:rsidRDefault="00000000">
      <w:proofErr w:type="spellStart"/>
      <w:r>
        <w:t>Sp</w:t>
      </w:r>
      <w:proofErr w:type="spellEnd"/>
      <w:r>
        <w:t xml:space="preserve">. zn.: Telefon: </w:t>
      </w:r>
    </w:p>
    <w:p w14:paraId="54EE5258" w14:textId="77777777" w:rsidR="0044515B" w:rsidRDefault="00000000">
      <w:r>
        <w:t>Vaše značka: E-mail:</w:t>
      </w:r>
    </w:p>
    <w:p w14:paraId="55D9E604" w14:textId="77777777" w:rsidR="0044515B" w:rsidRDefault="00000000">
      <w:r>
        <w:t xml:space="preserve"> </w:t>
      </w:r>
      <w:r>
        <w:tab/>
      </w:r>
      <w:r>
        <w:tab/>
      </w:r>
      <w:r>
        <w:tab/>
      </w:r>
    </w:p>
    <w:p w14:paraId="2359FE72" w14:textId="77777777" w:rsidR="0044515B" w:rsidRDefault="0044515B">
      <w:pPr>
        <w:jc w:val="both"/>
      </w:pPr>
    </w:p>
    <w:p w14:paraId="4E8330D5" w14:textId="77777777" w:rsidR="0044515B" w:rsidRDefault="00000000">
      <w:pPr>
        <w:jc w:val="center"/>
        <w:rPr>
          <w:b/>
          <w:sz w:val="40"/>
          <w:szCs w:val="40"/>
        </w:rPr>
      </w:pPr>
      <w:r>
        <w:rPr>
          <w:b/>
          <w:sz w:val="40"/>
          <w:szCs w:val="40"/>
        </w:rPr>
        <w:t>Exekuční příkaz</w:t>
      </w:r>
    </w:p>
    <w:p w14:paraId="19F537EB" w14:textId="77777777" w:rsidR="0044515B" w:rsidRDefault="00000000">
      <w:pPr>
        <w:jc w:val="center"/>
      </w:pPr>
      <w:r>
        <w:t>podle § 178 odst. 5 písm. d) zákona č. 280/2009 Sb., daňový řád</w:t>
      </w:r>
    </w:p>
    <w:p w14:paraId="6F6EF25B" w14:textId="77777777" w:rsidR="0044515B" w:rsidRDefault="0044515B">
      <w:pPr>
        <w:jc w:val="center"/>
      </w:pPr>
    </w:p>
    <w:p w14:paraId="0E5491E9" w14:textId="77777777" w:rsidR="0044515B" w:rsidRDefault="0044515B">
      <w:pPr>
        <w:jc w:val="both"/>
      </w:pPr>
    </w:p>
    <w:p w14:paraId="5D6E4D11" w14:textId="12FCD504" w:rsidR="0044515B" w:rsidRDefault="00000000">
      <w:pPr>
        <w:jc w:val="both"/>
        <w:rPr>
          <w:color w:val="000000"/>
        </w:rPr>
      </w:pPr>
      <w:r>
        <w:t>Městský úřad ……</w:t>
      </w:r>
      <w:proofErr w:type="gramStart"/>
      <w:r>
        <w:t>…….</w:t>
      </w:r>
      <w:proofErr w:type="gramEnd"/>
      <w:r>
        <w:t xml:space="preserve">, finanční odbor, oprávněný podle § 175 zákona č. 280/2009 Sb., daňový řád, rozhodl podle § 178 odst. 5 písm. d) zákona č. 280/2009 Sb., daňový řád, s přiměřeným použitím zákona č. 99/1963 Sb., občanský soudní řád, ve znění pozdějších předpisů, k uspokojení splatné pohledávky oprávněného Městského úřadu </w:t>
      </w:r>
      <w:r w:rsidR="008E78CC">
        <w:t>…..</w:t>
      </w:r>
      <w:r>
        <w:t xml:space="preserve"> v částce …</w:t>
      </w:r>
      <w:proofErr w:type="gramStart"/>
      <w:r>
        <w:t>…….</w:t>
      </w:r>
      <w:proofErr w:type="gramEnd"/>
      <w:r>
        <w:t xml:space="preserve">. Kč navýšené v souladu s § 182 a § 183 zákona č. 280/2009 Sb., daňový řád, o exekuční náklady v částce …………. Kč   o </w:t>
      </w:r>
      <w:r>
        <w:rPr>
          <w:b/>
        </w:rPr>
        <w:t xml:space="preserve">nařízení exekuce </w:t>
      </w:r>
      <w:r>
        <w:rPr>
          <w:b/>
          <w:color w:val="000000"/>
        </w:rPr>
        <w:t>postižením jiných majetkových práv</w:t>
      </w:r>
      <w:r>
        <w:rPr>
          <w:color w:val="000000"/>
        </w:rPr>
        <w:t xml:space="preserve"> </w:t>
      </w:r>
    </w:p>
    <w:p w14:paraId="6B8F7292" w14:textId="77777777" w:rsidR="0044515B" w:rsidRDefault="0044515B">
      <w:pPr>
        <w:jc w:val="both"/>
        <w:rPr>
          <w:color w:val="000000"/>
        </w:rPr>
      </w:pPr>
    </w:p>
    <w:p w14:paraId="792B2C5E" w14:textId="77777777" w:rsidR="0044515B" w:rsidRDefault="00000000">
      <w:pPr>
        <w:jc w:val="both"/>
      </w:pPr>
      <w:r>
        <w:t xml:space="preserve">Exekučním titulem </w:t>
      </w:r>
      <w:proofErr w:type="gramStart"/>
      <w:r>
        <w:t>je :</w:t>
      </w:r>
      <w:proofErr w:type="gramEnd"/>
    </w:p>
    <w:p w14:paraId="0852108E" w14:textId="77777777" w:rsidR="0044515B" w:rsidRDefault="00000000">
      <w:pPr>
        <w:numPr>
          <w:ilvl w:val="0"/>
          <w:numId w:val="1"/>
        </w:numPr>
        <w:spacing w:line="480" w:lineRule="auto"/>
        <w:ind w:left="714" w:hanging="357"/>
        <w:jc w:val="both"/>
      </w:pPr>
      <w:r>
        <w:t>vykonatelné a pravomocné rozhodnutí č.j. …………………</w:t>
      </w:r>
      <w:proofErr w:type="gramStart"/>
      <w:r>
        <w:t>…….</w:t>
      </w:r>
      <w:proofErr w:type="gramEnd"/>
      <w:r>
        <w:t xml:space="preserve">.v částce ………. Kč </w:t>
      </w:r>
    </w:p>
    <w:p w14:paraId="4F51DB8C" w14:textId="2C53C7A5" w:rsidR="0044515B" w:rsidRPr="00DA4D61" w:rsidRDefault="00DA4D61" w:rsidP="00DA4D61">
      <w:pPr>
        <w:jc w:val="center"/>
        <w:rPr>
          <w:b/>
          <w:bCs/>
        </w:rPr>
      </w:pPr>
      <w:r w:rsidRPr="00DA4D61">
        <w:rPr>
          <w:b/>
          <w:bCs/>
        </w:rPr>
        <w:t>Poučení</w:t>
      </w:r>
    </w:p>
    <w:p w14:paraId="27FFE240" w14:textId="77777777" w:rsidR="00DA4D61" w:rsidRDefault="00DA4D61">
      <w:pPr>
        <w:jc w:val="both"/>
      </w:pPr>
    </w:p>
    <w:p w14:paraId="12605A09" w14:textId="6A26ACA0" w:rsidR="0044515B" w:rsidRDefault="00000000">
      <w:pPr>
        <w:jc w:val="both"/>
      </w:pPr>
      <w:r>
        <w:t>Výkon rozhodnutí se v souladu § 320</w:t>
      </w:r>
      <w:r w:rsidR="008E78CC">
        <w:t>a až 320ab</w:t>
      </w:r>
      <w:r>
        <w:t xml:space="preserve"> zákona č. 99/1963 Sb., občanský soudní řád, ve znění pozdějších předpisů, a §192 zákona č. 280/2009 Sb., daňový řád provede vyplacení pohledávky z majetkových práv oprávněnému </w:t>
      </w:r>
      <w:r w:rsidR="008E78CC">
        <w:t>……….</w:t>
      </w:r>
      <w:r>
        <w:t xml:space="preserve"> na účet číslo </w:t>
      </w:r>
      <w:r>
        <w:rPr>
          <w:b/>
        </w:rPr>
        <w:t>…………………</w:t>
      </w:r>
      <w:r>
        <w:t>, variabilní symbol</w:t>
      </w:r>
      <w:r>
        <w:rPr>
          <w:sz w:val="22"/>
          <w:szCs w:val="22"/>
        </w:rPr>
        <w:t xml:space="preserve"> </w:t>
      </w:r>
      <w:r>
        <w:t>……………</w:t>
      </w:r>
      <w:proofErr w:type="gramStart"/>
      <w:r>
        <w:t>…….</w:t>
      </w:r>
      <w:proofErr w:type="gramEnd"/>
      <w:r>
        <w:t>., a to v den, který následuje po doručení vyrozumění podle § 305</w:t>
      </w:r>
      <w:r w:rsidR="00120336">
        <w:t xml:space="preserve"> o.s.ř.</w:t>
      </w:r>
      <w:r>
        <w:t xml:space="preserve">; není-li však pohledávka z majetkových práv povinného ještě splatná, poddlužník výkon rozhodnutí ve dni, který následuje po její splatnosti. Výkon rozhodnutí se provede i tehdy, postačuje-li pohledávka z majetkových práv povinného jen k částečnému uspokojení oprávněného. Nebyla-li podle odstavce 2 vymáhaná pohledávka a její příslušenství zcela </w:t>
      </w:r>
      <w:r>
        <w:lastRenderedPageBreak/>
        <w:t xml:space="preserve">uhrazena, provede poddlužník výkon rozhodnutí také ve dni následujícím po dni, v němž poddlužníkovi dojdou peněžní prostředky z majetkových práv určené dlužníkovi v takové výši, která je potřebná k plnému uspokojení oprávněného. Pohledávku z majetkových práv poddlužník oprávněnému vyplatí i tehdy, nepostačuje-li k jeho plnému uspokojení. </w:t>
      </w:r>
    </w:p>
    <w:p w14:paraId="156ACC63" w14:textId="77777777" w:rsidR="0044515B" w:rsidRDefault="0044515B">
      <w:pPr>
        <w:jc w:val="both"/>
      </w:pPr>
    </w:p>
    <w:p w14:paraId="3D2F9F86" w14:textId="77777777" w:rsidR="0044515B" w:rsidRDefault="0044515B">
      <w:pPr>
        <w:jc w:val="both"/>
      </w:pPr>
    </w:p>
    <w:p w14:paraId="67079BF0" w14:textId="77777777" w:rsidR="0044515B" w:rsidRDefault="00000000">
      <w:pPr>
        <w:jc w:val="both"/>
      </w:pPr>
      <w:r>
        <w:t xml:space="preserve">Podle § 192 zákona č. 280/2009 Sb., daňový řád, je poddlužník nesmí od okamžiku, kdy mu byl doručen exekuční příkaz, po dobu trvání exekuce vyplatit dlužníkovi pohledávku z majetkového práva, ani na ni provést započtení nebo s ní jinak nakládat, a to až do výše částky uvedené v exekučním příkazu. </w:t>
      </w:r>
    </w:p>
    <w:p w14:paraId="27CBEFD2" w14:textId="77777777" w:rsidR="0088660D" w:rsidRDefault="0088660D">
      <w:pPr>
        <w:jc w:val="both"/>
      </w:pPr>
    </w:p>
    <w:p w14:paraId="29F6323C" w14:textId="77777777" w:rsidR="0044515B" w:rsidRDefault="00000000">
      <w:pPr>
        <w:jc w:val="both"/>
      </w:pPr>
      <w:r w:rsidRPr="0088660D">
        <w:rPr>
          <w:b/>
          <w:bCs/>
        </w:rPr>
        <w:t>Dlužník</w:t>
      </w:r>
      <w:r>
        <w:t xml:space="preserve"> dnem doručení exekučního příkazu </w:t>
      </w:r>
      <w:r w:rsidRPr="0088660D">
        <w:rPr>
          <w:b/>
          <w:bCs/>
        </w:rPr>
        <w:t>poddlužníkovi</w:t>
      </w:r>
      <w:r>
        <w:t xml:space="preserve"> nesmí se svým majetkovým právem jakkoli nakládat a ztrácí právo na jeho vyplacení (§ 313 odst. 3 zákona č. 99/1963 Sb., občanský soudní řád, ve znění pozdějších předpisů a § 192 odst. 1 zákona č. 280/2009 Sb., daňový řád).</w:t>
      </w:r>
    </w:p>
    <w:p w14:paraId="4EC10EE4" w14:textId="77777777" w:rsidR="0088660D" w:rsidRDefault="0088660D">
      <w:pPr>
        <w:jc w:val="both"/>
      </w:pPr>
    </w:p>
    <w:p w14:paraId="2D0BDE9F" w14:textId="1D78E616" w:rsidR="0088660D" w:rsidRPr="0088660D" w:rsidRDefault="0088660D">
      <w:pPr>
        <w:rPr>
          <w:lang w:val="pl-PL"/>
        </w:rPr>
      </w:pPr>
      <w:r w:rsidRPr="0088660D">
        <w:rPr>
          <w:lang w:val="pl-PL"/>
        </w:rPr>
        <w:t>Pokud jsou</w:t>
      </w:r>
      <w:r w:rsidRPr="0088660D">
        <w:rPr>
          <w:b/>
          <w:bCs/>
          <w:lang w:val="pl-PL"/>
        </w:rPr>
        <w:t xml:space="preserve"> poddlužníkovi </w:t>
      </w:r>
      <w:r w:rsidRPr="0088660D">
        <w:rPr>
          <w:lang w:val="pl-PL"/>
        </w:rPr>
        <w:t>známy údaje, které mají nebo by mohly mít vliv na daňovou exekuci dlužníka, je povinen tyto údaje správci daně bez zbytečného odkladu oznámit</w:t>
      </w:r>
      <w:r w:rsidRPr="0088660D">
        <w:rPr>
          <w:lang w:val="pl-PL"/>
        </w:rPr>
        <w:t xml:space="preserve"> (§</w:t>
      </w:r>
      <w:r>
        <w:rPr>
          <w:b/>
          <w:bCs/>
          <w:lang w:val="pl-PL"/>
        </w:rPr>
        <w:t xml:space="preserve"> </w:t>
      </w:r>
      <w:r w:rsidRPr="0088660D">
        <w:rPr>
          <w:lang w:val="pl-PL"/>
        </w:rPr>
        <w:t>168 odst. 5 daňového řádu).</w:t>
      </w:r>
    </w:p>
    <w:p w14:paraId="3FFA5405" w14:textId="77777777" w:rsidR="0088660D" w:rsidRDefault="0088660D"/>
    <w:p w14:paraId="04CFDAB2" w14:textId="77777777" w:rsidR="0088660D" w:rsidRDefault="0088660D" w:rsidP="0088660D">
      <w:pPr>
        <w:jc w:val="both"/>
      </w:pPr>
      <w:r>
        <w:rPr>
          <w:b/>
          <w:bCs/>
        </w:rPr>
        <w:t>Úřední osoby a osoby zúčastněné na správě daní</w:t>
      </w:r>
      <w:r>
        <w:t xml:space="preserve"> jsou vázány povinností mlčenlivost o tom, co se při správě daní dozvěděly o poměrech jiných osob. To neplatí pro daňový (poplatkový) subjekt, pokud jde o informace získané nebo použité při správě jeho daní (§ 52 odst. 1 daňového řádu). Fyzická osoba, která je vázána povinností mlčenlivosti za podmínek stanovených daňovým zákonem, se dopustí přestupku, pokud tuto povinnost poruší. </w:t>
      </w:r>
    </w:p>
    <w:p w14:paraId="35058DE8" w14:textId="77777777" w:rsidR="0088660D" w:rsidRDefault="0088660D" w:rsidP="0088660D">
      <w:pPr>
        <w:jc w:val="both"/>
      </w:pPr>
    </w:p>
    <w:p w14:paraId="3121D80F" w14:textId="77777777" w:rsidR="0088660D" w:rsidRDefault="0088660D" w:rsidP="0088660D">
      <w:pPr>
        <w:jc w:val="both"/>
      </w:pPr>
      <w:r>
        <w:rPr>
          <w:b/>
          <w:bCs/>
        </w:rPr>
        <w:t>Pořádkovou pokutu</w:t>
      </w:r>
      <w:r>
        <w:t xml:space="preserve"> do 500 000 Kč může správce daně uložit tomu, kdo závažně ztěžuje nebo maří správu daní tím, že bez dostatečné omluvy nevyhoví ve stanovené lhůtě výzvě ke splnění procesní povinnosti nepeněžité povahy, která mu byla stanovena zákonem nebo správcem poplatku, nestanoví-li zákon jiný důsledek (§ 247 odst. 2). </w:t>
      </w:r>
    </w:p>
    <w:p w14:paraId="7A6A8050" w14:textId="77777777" w:rsidR="0088660D" w:rsidRDefault="0088660D" w:rsidP="0088660D">
      <w:pPr>
        <w:jc w:val="both"/>
      </w:pPr>
    </w:p>
    <w:p w14:paraId="62C982D8" w14:textId="77777777" w:rsidR="0088660D" w:rsidRDefault="0088660D" w:rsidP="0088660D">
      <w:pPr>
        <w:jc w:val="both"/>
      </w:pPr>
      <w:r>
        <w:rPr>
          <w:b/>
          <w:bCs/>
        </w:rPr>
        <w:t>Správce daně</w:t>
      </w:r>
      <w:r>
        <w:t xml:space="preserve"> je podle </w:t>
      </w:r>
      <w:proofErr w:type="spellStart"/>
      <w:r>
        <w:t>ust</w:t>
      </w:r>
      <w:proofErr w:type="spellEnd"/>
      <w:r>
        <w:t xml:space="preserve">. § 247a odst. 1 písm. a) daňového řádu oprávněn uložit pokutu tomu, kdo nesplní registrační, ohlašovací nebo jinou oznamovací povinnost, stanovenou daňovým zákonem nebo správcem poplatku. </w:t>
      </w:r>
    </w:p>
    <w:p w14:paraId="67AD91C7" w14:textId="77777777" w:rsidR="0088660D" w:rsidRDefault="0088660D" w:rsidP="0088660D">
      <w:pPr>
        <w:jc w:val="both"/>
      </w:pPr>
    </w:p>
    <w:p w14:paraId="08BE5C0F" w14:textId="77777777" w:rsidR="0088660D" w:rsidRDefault="0088660D" w:rsidP="0088660D">
      <w:pPr>
        <w:jc w:val="both"/>
      </w:pPr>
      <w:r>
        <w:rPr>
          <w:b/>
          <w:bCs/>
        </w:rPr>
        <w:t>Zpracování osobních údajů</w:t>
      </w:r>
      <w:r>
        <w:t xml:space="preserve"> se řídí </w:t>
      </w:r>
      <w:proofErr w:type="spellStart"/>
      <w:r>
        <w:t>ust</w:t>
      </w:r>
      <w:proofErr w:type="spellEnd"/>
      <w:r>
        <w:t>. § 59a daňového řádu a ostatní informace o zpracování osobních údajů jsou dostupné na adrese: www………</w:t>
      </w:r>
      <w:proofErr w:type="gramStart"/>
      <w:r>
        <w:t>…….</w:t>
      </w:r>
      <w:proofErr w:type="gramEnd"/>
      <w:r>
        <w:t xml:space="preserve">. </w:t>
      </w:r>
    </w:p>
    <w:p w14:paraId="09DE59FC" w14:textId="77777777" w:rsidR="0088660D" w:rsidRDefault="0088660D" w:rsidP="0088660D">
      <w:pPr>
        <w:jc w:val="both"/>
      </w:pPr>
    </w:p>
    <w:p w14:paraId="322EC44E" w14:textId="77777777" w:rsidR="0088660D" w:rsidRDefault="0088660D" w:rsidP="0088660D">
      <w:pPr>
        <w:jc w:val="both"/>
      </w:pPr>
      <w:r>
        <w:t xml:space="preserve">Proti tomuto rozhodnutí </w:t>
      </w:r>
      <w:r>
        <w:rPr>
          <w:b/>
          <w:bCs/>
        </w:rPr>
        <w:t>nelze uplatnit opravné prostředky</w:t>
      </w:r>
      <w:r>
        <w:t xml:space="preserve"> </w:t>
      </w:r>
      <w:r w:rsidRPr="002A2154">
        <w:rPr>
          <w:b/>
          <w:bCs/>
        </w:rPr>
        <w:t>ani námitku</w:t>
      </w:r>
      <w:r>
        <w:t xml:space="preserve"> (§ 178 odst. 4 daňového řádu). </w:t>
      </w:r>
    </w:p>
    <w:p w14:paraId="472DC12C" w14:textId="77777777" w:rsidR="0088660D" w:rsidRDefault="0088660D" w:rsidP="0088660D">
      <w:pPr>
        <w:jc w:val="both"/>
      </w:pPr>
    </w:p>
    <w:p w14:paraId="415890D9" w14:textId="77777777" w:rsidR="0088660D" w:rsidRDefault="0088660D" w:rsidP="0088660D">
      <w:pPr>
        <w:jc w:val="both"/>
      </w:pPr>
      <w:r>
        <w:rPr>
          <w:b/>
          <w:bCs/>
          <w:i/>
          <w:iCs/>
        </w:rPr>
        <w:t>Dlužník</w:t>
      </w:r>
      <w:r>
        <w:rPr>
          <w:i/>
          <w:iCs/>
        </w:rPr>
        <w:t xml:space="preserve"> může podat návrh na zastavení daňové exekuce, pokud v daňové exekuci nařízené k vymožení poplatkové povinnosti vzniklé v době, kdy byl nezletilým, který nenabyl plné svéprávnosti, byl postižen majetek, který nabyl po nabytí plné svéprávnosti, nejde-li o majetek, který nabyl právním jednáním vztahujícím se výlučně k majetku nabytému před nabytím plné svéprávnosti; to neplatí pro pohledávky vzniklé při samostatném provozování obchodního závodu nebo jiné obdobné výdělečné činnosti podle zvláštního právního předpisu (§ 262c o.s.ř.). – alternativa při exekuci pokuty nezletilému</w:t>
      </w:r>
      <w:r>
        <w:t xml:space="preserve"> </w:t>
      </w:r>
    </w:p>
    <w:p w14:paraId="7DB9A2D4" w14:textId="77777777" w:rsidR="0088660D" w:rsidRDefault="0088660D" w:rsidP="0088660D">
      <w:pPr>
        <w:jc w:val="both"/>
      </w:pPr>
    </w:p>
    <w:p w14:paraId="55A8A297" w14:textId="77777777" w:rsidR="0088660D" w:rsidRDefault="0088660D" w:rsidP="0088660D">
      <w:pPr>
        <w:jc w:val="both"/>
      </w:pPr>
      <w:r>
        <w:rPr>
          <w:b/>
          <w:bCs/>
        </w:rPr>
        <w:lastRenderedPageBreak/>
        <w:t xml:space="preserve">Správce daně </w:t>
      </w:r>
      <w:r>
        <w:t>může daňovou exekuci na návrh dlužníka</w:t>
      </w:r>
      <w:r>
        <w:rPr>
          <w:b/>
          <w:bCs/>
        </w:rPr>
        <w:t xml:space="preserve"> částečně nebo zcela odložit</w:t>
      </w:r>
      <w:r>
        <w:t xml:space="preserve">, zejména šetří-li skutečnosti rozhodné pro zastavení daňové exekuce (§ 181 odst. 1 daňového řádu). </w:t>
      </w:r>
    </w:p>
    <w:p w14:paraId="41725332" w14:textId="77777777" w:rsidR="0088660D" w:rsidRDefault="0088660D" w:rsidP="0088660D">
      <w:pPr>
        <w:jc w:val="both"/>
      </w:pPr>
      <w:r>
        <w:br/>
      </w:r>
    </w:p>
    <w:p w14:paraId="59EE84EC" w14:textId="77777777" w:rsidR="0088660D" w:rsidRDefault="0088660D" w:rsidP="0088660D">
      <w:pPr>
        <w:jc w:val="both"/>
      </w:pPr>
      <w:r>
        <w:t>Datum podpisu rozhodnutí ……………</w:t>
      </w:r>
      <w:proofErr w:type="gramStart"/>
      <w:r>
        <w:t>…….</w:t>
      </w:r>
      <w:proofErr w:type="gramEnd"/>
      <w:r>
        <w:t xml:space="preserve">. </w:t>
      </w:r>
    </w:p>
    <w:p w14:paraId="2E6E30D2" w14:textId="77777777" w:rsidR="0088660D" w:rsidRDefault="0088660D" w:rsidP="0088660D">
      <w:pPr>
        <w:jc w:val="both"/>
      </w:pPr>
      <w:r>
        <w:br/>
      </w:r>
    </w:p>
    <w:p w14:paraId="5453AF05" w14:textId="77777777" w:rsidR="0088660D" w:rsidRDefault="0088660D" w:rsidP="0088660D">
      <w:pPr>
        <w:pStyle w:val="Normlnweb"/>
        <w:spacing w:beforeAutospacing="0" w:afterAutospacing="0"/>
        <w:jc w:val="center"/>
      </w:pPr>
      <w:r>
        <w:br/>
      </w:r>
      <w:r>
        <w:rPr>
          <w:rFonts w:ascii="Calibri" w:hAnsi="Calibri" w:cs="Calibri"/>
          <w:color w:val="000000"/>
          <w:sz w:val="22"/>
          <w:szCs w:val="22"/>
        </w:rPr>
        <w:t>otisk</w:t>
      </w:r>
    </w:p>
    <w:p w14:paraId="296E3EA4" w14:textId="77777777" w:rsidR="0088660D" w:rsidRDefault="0088660D" w:rsidP="0088660D">
      <w:pPr>
        <w:pStyle w:val="Normlnweb"/>
        <w:spacing w:beforeAutospacing="0" w:afterAutospacing="0"/>
        <w:jc w:val="center"/>
      </w:pPr>
      <w:r>
        <w:rPr>
          <w:rFonts w:ascii="Calibri" w:hAnsi="Calibri" w:cs="Calibri"/>
          <w:color w:val="000000"/>
          <w:sz w:val="22"/>
          <w:szCs w:val="22"/>
        </w:rPr>
        <w:t>úředního</w:t>
      </w:r>
    </w:p>
    <w:p w14:paraId="0565DBAB" w14:textId="77777777" w:rsidR="0088660D" w:rsidRDefault="0088660D" w:rsidP="0088660D">
      <w:pPr>
        <w:pStyle w:val="Normlnweb"/>
        <w:spacing w:beforeAutospacing="0" w:afterAutospacing="0"/>
        <w:jc w:val="center"/>
      </w:pPr>
      <w:r>
        <w:rPr>
          <w:rFonts w:ascii="Calibri" w:hAnsi="Calibri" w:cs="Calibri"/>
          <w:color w:val="000000"/>
          <w:sz w:val="22"/>
          <w:szCs w:val="22"/>
        </w:rPr>
        <w:t>razítka</w:t>
      </w:r>
    </w:p>
    <w:p w14:paraId="2FA8EA8A" w14:textId="77777777" w:rsidR="0088660D" w:rsidRDefault="0088660D" w:rsidP="0088660D">
      <w:pPr>
        <w:jc w:val="both"/>
      </w:pPr>
    </w:p>
    <w:p w14:paraId="7E3A8B8B" w14:textId="77777777" w:rsidR="0088660D" w:rsidRDefault="0088660D" w:rsidP="0088660D">
      <w:pPr>
        <w:jc w:val="both"/>
      </w:pPr>
    </w:p>
    <w:p w14:paraId="2708446A" w14:textId="77777777" w:rsidR="0088660D" w:rsidRDefault="0088660D" w:rsidP="0088660D">
      <w:pPr>
        <w:jc w:val="both"/>
      </w:pPr>
    </w:p>
    <w:p w14:paraId="03356629" w14:textId="77777777" w:rsidR="0088660D" w:rsidRDefault="0088660D" w:rsidP="0088660D">
      <w:pPr>
        <w:jc w:val="both"/>
      </w:pPr>
    </w:p>
    <w:p w14:paraId="329CE998" w14:textId="77777777" w:rsidR="0088660D" w:rsidRDefault="0088660D" w:rsidP="0088660D">
      <w:pPr>
        <w:jc w:val="both"/>
      </w:pPr>
      <w:r>
        <w:t xml:space="preserve">………………………………………………….. </w:t>
      </w:r>
    </w:p>
    <w:p w14:paraId="48BA36A0" w14:textId="77777777" w:rsidR="0088660D" w:rsidRDefault="0088660D" w:rsidP="0088660D">
      <w:pPr>
        <w:jc w:val="both"/>
      </w:pPr>
      <w:r>
        <w:t xml:space="preserve">Podpis úřední osoby s uvedením </w:t>
      </w:r>
    </w:p>
    <w:p w14:paraId="2ACE70C4" w14:textId="77777777" w:rsidR="0088660D" w:rsidRDefault="0088660D" w:rsidP="0088660D">
      <w:pPr>
        <w:jc w:val="both"/>
      </w:pPr>
      <w:r>
        <w:t xml:space="preserve">jména a pracovního zařazení </w:t>
      </w:r>
    </w:p>
    <w:p w14:paraId="4CC8E479" w14:textId="77777777" w:rsidR="0088660D" w:rsidRDefault="0088660D" w:rsidP="0088660D">
      <w:pPr>
        <w:jc w:val="both"/>
      </w:pPr>
      <w:r>
        <w:br/>
      </w:r>
    </w:p>
    <w:p w14:paraId="1B0C4473" w14:textId="6B7D7C81" w:rsidR="0088660D" w:rsidRDefault="0088660D" w:rsidP="0088660D">
      <w:pPr>
        <w:jc w:val="both"/>
      </w:pPr>
      <w:r>
        <w:t>-------</w:t>
      </w:r>
      <w:r>
        <w:br/>
      </w:r>
    </w:p>
    <w:p w14:paraId="40AAAC2B" w14:textId="77777777" w:rsidR="0088660D" w:rsidRDefault="0088660D" w:rsidP="0088660D">
      <w:pPr>
        <w:jc w:val="both"/>
      </w:pPr>
      <w:r>
        <w:t xml:space="preserve">Rozdělovník: </w:t>
      </w:r>
    </w:p>
    <w:p w14:paraId="6E9BD6E5" w14:textId="77777777" w:rsidR="0088660D" w:rsidRDefault="0088660D" w:rsidP="0088660D">
      <w:pPr>
        <w:jc w:val="both"/>
      </w:pPr>
      <w:r>
        <w:t xml:space="preserve">……………………………………………. </w:t>
      </w:r>
    </w:p>
    <w:p w14:paraId="6B8FF0E5" w14:textId="77777777" w:rsidR="0088660D" w:rsidRDefault="0088660D" w:rsidP="0088660D">
      <w:pPr>
        <w:jc w:val="both"/>
      </w:pPr>
      <w:r>
        <w:t>…………………………………………….</w:t>
      </w:r>
    </w:p>
    <w:p w14:paraId="4C367502" w14:textId="77777777" w:rsidR="0044515B" w:rsidRDefault="0044515B"/>
    <w:p w14:paraId="6033B414" w14:textId="77777777" w:rsidR="0044515B" w:rsidRDefault="0044515B"/>
    <w:p w14:paraId="12106BAB" w14:textId="77777777" w:rsidR="0044515B" w:rsidRDefault="0044515B">
      <w:pPr>
        <w:tabs>
          <w:tab w:val="left" w:pos="4500"/>
          <w:tab w:val="left" w:pos="5876"/>
        </w:tabs>
        <w:jc w:val="both"/>
      </w:pPr>
    </w:p>
    <w:sectPr w:rsidR="0044515B">
      <w:headerReference w:type="default" r:id="rId7"/>
      <w:footerReference w:type="default" r:id="rId8"/>
      <w:pgSz w:w="11906" w:h="16838"/>
      <w:pgMar w:top="1418" w:right="1418" w:bottom="1418" w:left="1418" w:header="0" w:footer="720"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400A3" w14:textId="77777777" w:rsidR="00530BFE" w:rsidRDefault="00530BFE">
      <w:r>
        <w:separator/>
      </w:r>
    </w:p>
  </w:endnote>
  <w:endnote w:type="continuationSeparator" w:id="0">
    <w:p w14:paraId="3962C52A" w14:textId="77777777" w:rsidR="00530BFE" w:rsidRDefault="0053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C2CF5" w14:textId="77777777" w:rsidR="0044515B" w:rsidRDefault="0044515B">
    <w:pPr>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4B768" w14:textId="77777777" w:rsidR="00530BFE" w:rsidRDefault="00530BFE">
      <w:r>
        <w:separator/>
      </w:r>
    </w:p>
  </w:footnote>
  <w:footnote w:type="continuationSeparator" w:id="0">
    <w:p w14:paraId="4474D82C" w14:textId="77777777" w:rsidR="00530BFE" w:rsidRDefault="00530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9AA9D" w14:textId="77777777" w:rsidR="0044515B" w:rsidRDefault="0044515B">
    <w:pPr>
      <w:jc w:val="center"/>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5024D"/>
    <w:multiLevelType w:val="multilevel"/>
    <w:tmpl w:val="09FEA482"/>
    <w:lvl w:ilvl="0">
      <w:start w:val="1"/>
      <w:numFmt w:val="decimal"/>
      <w:lvlText w:val="%1."/>
      <w:lvlJc w:val="left"/>
      <w:pPr>
        <w:tabs>
          <w:tab w:val="num" w:pos="0"/>
        </w:tabs>
        <w:ind w:left="720" w:firstLine="0"/>
      </w:pPr>
      <w:rPr>
        <w:rFonts w:ascii="Times New Roman" w:eastAsia="Times New Roman" w:hAnsi="Times New Roman" w:cs="Times New Roman"/>
        <w:b w:val="0"/>
        <w:i w:val="0"/>
        <w:caps w:val="0"/>
        <w:smallCaps w:val="0"/>
        <w:strike w:val="0"/>
        <w:dstrike w:val="0"/>
        <w:color w:val="000000"/>
        <w:position w:val="0"/>
        <w:sz w:val="20"/>
        <w:szCs w:val="20"/>
        <w:u w:val="none"/>
        <w:shd w:val="clear" w:color="auto" w:fill="auto"/>
        <w:vertAlign w:val="baseline"/>
      </w:rPr>
    </w:lvl>
    <w:lvl w:ilvl="1">
      <w:start w:val="1"/>
      <w:numFmt w:val="lowerLetter"/>
      <w:lvlText w:val="%2."/>
      <w:lvlJc w:val="left"/>
      <w:pPr>
        <w:tabs>
          <w:tab w:val="num" w:pos="0"/>
        </w:tabs>
        <w:ind w:left="1440" w:firstLine="0"/>
      </w:pPr>
      <w:rPr>
        <w:rFonts w:ascii="Times New Roman" w:eastAsia="Times New Roman" w:hAnsi="Times New Roman" w:cs="Times New Roman"/>
        <w:b w:val="0"/>
        <w:i w:val="0"/>
        <w:caps w:val="0"/>
        <w:smallCaps w:val="0"/>
        <w:strike w:val="0"/>
        <w:dstrike w:val="0"/>
        <w:color w:val="000000"/>
        <w:position w:val="0"/>
        <w:sz w:val="20"/>
        <w:szCs w:val="20"/>
        <w:u w:val="none"/>
        <w:shd w:val="clear" w:color="auto" w:fill="auto"/>
        <w:vertAlign w:val="baseline"/>
      </w:rPr>
    </w:lvl>
    <w:lvl w:ilvl="2">
      <w:start w:val="1"/>
      <w:numFmt w:val="lowerRoman"/>
      <w:lvlText w:val="%3."/>
      <w:lvlJc w:val="right"/>
      <w:pPr>
        <w:tabs>
          <w:tab w:val="num" w:pos="0"/>
        </w:tabs>
        <w:ind w:left="2160" w:firstLine="0"/>
      </w:pPr>
      <w:rPr>
        <w:rFonts w:ascii="Times New Roman" w:eastAsia="Times New Roman" w:hAnsi="Times New Roman" w:cs="Times New Roman"/>
        <w:b w:val="0"/>
        <w:i w:val="0"/>
        <w:caps w:val="0"/>
        <w:smallCaps w:val="0"/>
        <w:strike w:val="0"/>
        <w:dstrike w:val="0"/>
        <w:color w:val="000000"/>
        <w:position w:val="0"/>
        <w:sz w:val="20"/>
        <w:szCs w:val="20"/>
        <w:u w:val="none"/>
        <w:shd w:val="clear" w:color="auto" w:fill="auto"/>
        <w:vertAlign w:val="baseline"/>
      </w:rPr>
    </w:lvl>
    <w:lvl w:ilvl="3">
      <w:start w:val="1"/>
      <w:numFmt w:val="decimal"/>
      <w:lvlText w:val="%4."/>
      <w:lvlJc w:val="left"/>
      <w:pPr>
        <w:tabs>
          <w:tab w:val="num" w:pos="0"/>
        </w:tabs>
        <w:ind w:left="2880" w:firstLine="0"/>
      </w:pPr>
      <w:rPr>
        <w:rFonts w:ascii="Times New Roman" w:eastAsia="Times New Roman" w:hAnsi="Times New Roman" w:cs="Times New Roman"/>
        <w:b w:val="0"/>
        <w:i w:val="0"/>
        <w:caps w:val="0"/>
        <w:smallCaps w:val="0"/>
        <w:strike w:val="0"/>
        <w:dstrike w:val="0"/>
        <w:color w:val="000000"/>
        <w:position w:val="0"/>
        <w:sz w:val="20"/>
        <w:szCs w:val="20"/>
        <w:u w:val="none"/>
        <w:shd w:val="clear" w:color="auto" w:fill="auto"/>
        <w:vertAlign w:val="baseline"/>
      </w:rPr>
    </w:lvl>
    <w:lvl w:ilvl="4">
      <w:start w:val="1"/>
      <w:numFmt w:val="lowerLetter"/>
      <w:lvlText w:val="%5."/>
      <w:lvlJc w:val="left"/>
      <w:pPr>
        <w:tabs>
          <w:tab w:val="num" w:pos="0"/>
        </w:tabs>
        <w:ind w:left="3600" w:firstLine="0"/>
      </w:pPr>
      <w:rPr>
        <w:rFonts w:ascii="Times New Roman" w:eastAsia="Times New Roman" w:hAnsi="Times New Roman" w:cs="Times New Roman"/>
        <w:b w:val="0"/>
        <w:i w:val="0"/>
        <w:caps w:val="0"/>
        <w:smallCaps w:val="0"/>
        <w:strike w:val="0"/>
        <w:dstrike w:val="0"/>
        <w:color w:val="000000"/>
        <w:position w:val="0"/>
        <w:sz w:val="20"/>
        <w:szCs w:val="20"/>
        <w:u w:val="none"/>
        <w:shd w:val="clear" w:color="auto" w:fill="auto"/>
        <w:vertAlign w:val="baseline"/>
      </w:rPr>
    </w:lvl>
    <w:lvl w:ilvl="5">
      <w:start w:val="1"/>
      <w:numFmt w:val="lowerRoman"/>
      <w:lvlText w:val="%6."/>
      <w:lvlJc w:val="right"/>
      <w:pPr>
        <w:tabs>
          <w:tab w:val="num" w:pos="0"/>
        </w:tabs>
        <w:ind w:left="4320" w:firstLine="0"/>
      </w:pPr>
      <w:rPr>
        <w:rFonts w:ascii="Times New Roman" w:eastAsia="Times New Roman" w:hAnsi="Times New Roman" w:cs="Times New Roman"/>
        <w:b w:val="0"/>
        <w:i w:val="0"/>
        <w:caps w:val="0"/>
        <w:smallCaps w:val="0"/>
        <w:strike w:val="0"/>
        <w:dstrike w:val="0"/>
        <w:color w:val="000000"/>
        <w:position w:val="0"/>
        <w:sz w:val="20"/>
        <w:szCs w:val="20"/>
        <w:u w:val="none"/>
        <w:shd w:val="clear" w:color="auto" w:fill="auto"/>
        <w:vertAlign w:val="baseline"/>
      </w:rPr>
    </w:lvl>
    <w:lvl w:ilvl="6">
      <w:start w:val="1"/>
      <w:numFmt w:val="decimal"/>
      <w:lvlText w:val="%7."/>
      <w:lvlJc w:val="left"/>
      <w:pPr>
        <w:tabs>
          <w:tab w:val="num" w:pos="0"/>
        </w:tabs>
        <w:ind w:left="5040" w:firstLine="0"/>
      </w:pPr>
      <w:rPr>
        <w:rFonts w:ascii="Times New Roman" w:eastAsia="Times New Roman" w:hAnsi="Times New Roman" w:cs="Times New Roman"/>
        <w:b w:val="0"/>
        <w:i w:val="0"/>
        <w:caps w:val="0"/>
        <w:smallCaps w:val="0"/>
        <w:strike w:val="0"/>
        <w:dstrike w:val="0"/>
        <w:color w:val="000000"/>
        <w:position w:val="0"/>
        <w:sz w:val="20"/>
        <w:szCs w:val="20"/>
        <w:u w:val="none"/>
        <w:shd w:val="clear" w:color="auto" w:fill="auto"/>
        <w:vertAlign w:val="baseline"/>
      </w:rPr>
    </w:lvl>
    <w:lvl w:ilvl="7">
      <w:start w:val="1"/>
      <w:numFmt w:val="lowerLetter"/>
      <w:lvlText w:val="%8."/>
      <w:lvlJc w:val="left"/>
      <w:pPr>
        <w:tabs>
          <w:tab w:val="num" w:pos="0"/>
        </w:tabs>
        <w:ind w:left="5760" w:firstLine="0"/>
      </w:pPr>
      <w:rPr>
        <w:rFonts w:ascii="Times New Roman" w:eastAsia="Times New Roman" w:hAnsi="Times New Roman" w:cs="Times New Roman"/>
        <w:b w:val="0"/>
        <w:i w:val="0"/>
        <w:caps w:val="0"/>
        <w:smallCaps w:val="0"/>
        <w:strike w:val="0"/>
        <w:dstrike w:val="0"/>
        <w:color w:val="000000"/>
        <w:position w:val="0"/>
        <w:sz w:val="20"/>
        <w:szCs w:val="20"/>
        <w:u w:val="none"/>
        <w:shd w:val="clear" w:color="auto" w:fill="auto"/>
        <w:vertAlign w:val="baseline"/>
      </w:rPr>
    </w:lvl>
    <w:lvl w:ilvl="8">
      <w:start w:val="1"/>
      <w:numFmt w:val="lowerRoman"/>
      <w:lvlText w:val="%9."/>
      <w:lvlJc w:val="right"/>
      <w:pPr>
        <w:tabs>
          <w:tab w:val="num" w:pos="0"/>
        </w:tabs>
        <w:ind w:left="6480" w:firstLine="0"/>
      </w:pPr>
      <w:rPr>
        <w:rFonts w:ascii="Times New Roman" w:eastAsia="Times New Roman" w:hAnsi="Times New Roman" w:cs="Times New Roman"/>
        <w:b w:val="0"/>
        <w:i w:val="0"/>
        <w:caps w:val="0"/>
        <w:smallCaps w:val="0"/>
        <w:strike w:val="0"/>
        <w:dstrike w:val="0"/>
        <w:color w:val="000000"/>
        <w:position w:val="0"/>
        <w:sz w:val="20"/>
        <w:szCs w:val="20"/>
        <w:u w:val="none"/>
        <w:shd w:val="clear" w:color="auto" w:fill="auto"/>
        <w:vertAlign w:val="baseline"/>
      </w:rPr>
    </w:lvl>
  </w:abstractNum>
  <w:abstractNum w:abstractNumId="1" w15:restartNumberingAfterBreak="0">
    <w:nsid w:val="4BE5477C"/>
    <w:multiLevelType w:val="multilevel"/>
    <w:tmpl w:val="6C28C7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43439210">
    <w:abstractNumId w:val="0"/>
  </w:num>
  <w:num w:numId="2" w16cid:durableId="1473788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15B"/>
    <w:rsid w:val="00120336"/>
    <w:rsid w:val="0044515B"/>
    <w:rsid w:val="00530BFE"/>
    <w:rsid w:val="0088660D"/>
    <w:rsid w:val="008E78CC"/>
    <w:rsid w:val="00A11965"/>
    <w:rsid w:val="00DA4D61"/>
    <w:rsid w:val="00E95E2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D98E3"/>
  <w15:docId w15:val="{12F56994-0F16-43BD-AF37-AC08E41A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outlineLvl w:val="0"/>
    </w:pPr>
    <w:rPr>
      <w:b/>
    </w:rPr>
  </w:style>
  <w:style w:type="paragraph" w:styleId="Nadpis2">
    <w:name w:val="heading 2"/>
    <w:basedOn w:val="Normln"/>
    <w:next w:val="Normln"/>
    <w:uiPriority w:val="9"/>
    <w:semiHidden/>
    <w:unhideWhenUsed/>
    <w:qFormat/>
    <w:pPr>
      <w:keepNext/>
      <w:spacing w:before="240" w:after="60"/>
      <w:outlineLvl w:val="1"/>
    </w:pPr>
    <w:rPr>
      <w:rFonts w:ascii="Arial" w:eastAsia="Arial" w:hAnsi="Arial" w:cs="Arial"/>
      <w:b/>
      <w:i/>
      <w:sz w:val="28"/>
      <w:szCs w:val="28"/>
    </w:rPr>
  </w:style>
  <w:style w:type="paragraph" w:styleId="Nadpis3">
    <w:name w:val="heading 3"/>
    <w:basedOn w:val="Normln"/>
    <w:next w:val="Normln"/>
    <w:uiPriority w:val="9"/>
    <w:semiHidden/>
    <w:unhideWhenUsed/>
    <w:qFormat/>
    <w:pPr>
      <w:keepNext/>
      <w:spacing w:before="240" w:after="60"/>
      <w:outlineLvl w:val="2"/>
    </w:pPr>
    <w:rPr>
      <w:rFonts w:ascii="Arial" w:eastAsia="Arial" w:hAnsi="Arial" w:cs="Arial"/>
      <w:b/>
      <w:sz w:val="26"/>
      <w:szCs w:val="26"/>
    </w:rPr>
  </w:style>
  <w:style w:type="paragraph" w:styleId="Nadpis4">
    <w:name w:val="heading 4"/>
    <w:basedOn w:val="Normln"/>
    <w:next w:val="Normln"/>
    <w:uiPriority w:val="9"/>
    <w:semiHidden/>
    <w:unhideWhenUsed/>
    <w:qFormat/>
    <w:pPr>
      <w:keepNext/>
      <w:spacing w:before="240" w:after="60"/>
      <w:outlineLvl w:val="3"/>
    </w:pPr>
    <w:rPr>
      <w:b/>
      <w:sz w:val="28"/>
      <w:szCs w:val="28"/>
    </w:rPr>
  </w:style>
  <w:style w:type="paragraph" w:styleId="Nadpis5">
    <w:name w:val="heading 5"/>
    <w:basedOn w:val="Normln"/>
    <w:next w:val="Normln"/>
    <w:uiPriority w:val="9"/>
    <w:semiHidden/>
    <w:unhideWhenUsed/>
    <w:qFormat/>
    <w:pPr>
      <w:spacing w:before="240" w:after="60"/>
      <w:outlineLvl w:val="4"/>
    </w:pPr>
    <w:rPr>
      <w:b/>
      <w:i/>
      <w:sz w:val="26"/>
      <w:szCs w:val="26"/>
    </w:rPr>
  </w:style>
  <w:style w:type="paragraph" w:styleId="Nadpis6">
    <w:name w:val="heading 6"/>
    <w:basedOn w:val="Normln"/>
    <w:next w:val="Normln"/>
    <w:uiPriority w:val="9"/>
    <w:semiHidden/>
    <w:unhideWhenUsed/>
    <w:qFormat/>
    <w:pPr>
      <w:spacing w:before="240" w:after="60"/>
      <w:outlineLvl w:val="5"/>
    </w:pPr>
    <w:rPr>
      <w:b/>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591C1C"/>
  </w:style>
  <w:style w:type="character" w:customStyle="1" w:styleId="ZpatChar">
    <w:name w:val="Zápatí Char"/>
    <w:basedOn w:val="Standardnpsmoodstavce"/>
    <w:link w:val="Zpat"/>
    <w:uiPriority w:val="99"/>
    <w:qFormat/>
    <w:rsid w:val="00591C1C"/>
  </w:style>
  <w:style w:type="paragraph" w:customStyle="1" w:styleId="Heading">
    <w:name w:val="Heading"/>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rPr>
  </w:style>
  <w:style w:type="paragraph" w:customStyle="1" w:styleId="Index">
    <w:name w:val="Index"/>
    <w:basedOn w:val="Normln"/>
    <w:qFormat/>
    <w:pPr>
      <w:suppressLineNumbers/>
    </w:pPr>
    <w:rPr>
      <w:rFonts w:cs="Lohit Devanagari"/>
    </w:rPr>
  </w:style>
  <w:style w:type="paragraph" w:styleId="Nzev">
    <w:name w:val="Title"/>
    <w:basedOn w:val="Normln"/>
    <w:next w:val="Normln"/>
    <w:uiPriority w:val="10"/>
    <w:qFormat/>
    <w:pPr>
      <w:spacing w:before="240" w:after="60"/>
      <w:jc w:val="center"/>
    </w:pPr>
    <w:rPr>
      <w:rFonts w:ascii="Arial" w:eastAsia="Arial" w:hAnsi="Arial" w:cs="Arial"/>
      <w:b/>
      <w:sz w:val="32"/>
      <w:szCs w:val="32"/>
    </w:rPr>
  </w:style>
  <w:style w:type="paragraph" w:styleId="Podnadpis">
    <w:name w:val="Subtitle"/>
    <w:basedOn w:val="Normln"/>
    <w:next w:val="Normln"/>
    <w:uiPriority w:val="11"/>
    <w:qFormat/>
    <w:pPr>
      <w:spacing w:after="60"/>
      <w:jc w:val="center"/>
    </w:pPr>
    <w:rPr>
      <w:rFonts w:ascii="Arial" w:eastAsia="Arial" w:hAnsi="Arial" w:cs="Arial"/>
    </w:rPr>
  </w:style>
  <w:style w:type="paragraph" w:customStyle="1" w:styleId="HeaderandFooter">
    <w:name w:val="Header and Footer"/>
    <w:basedOn w:val="Normln"/>
    <w:qFormat/>
  </w:style>
  <w:style w:type="paragraph" w:styleId="Zhlav">
    <w:name w:val="header"/>
    <w:basedOn w:val="Normln"/>
    <w:link w:val="ZhlavChar"/>
    <w:uiPriority w:val="99"/>
    <w:unhideWhenUsed/>
    <w:rsid w:val="00591C1C"/>
    <w:pPr>
      <w:tabs>
        <w:tab w:val="center" w:pos="4536"/>
        <w:tab w:val="right" w:pos="9072"/>
      </w:tabs>
    </w:pPr>
  </w:style>
  <w:style w:type="paragraph" w:styleId="Zpat">
    <w:name w:val="footer"/>
    <w:basedOn w:val="Normln"/>
    <w:link w:val="ZpatChar"/>
    <w:uiPriority w:val="99"/>
    <w:unhideWhenUsed/>
    <w:rsid w:val="00591C1C"/>
    <w:pPr>
      <w:tabs>
        <w:tab w:val="center" w:pos="4536"/>
        <w:tab w:val="right" w:pos="9072"/>
      </w:tabs>
    </w:pPr>
  </w:style>
  <w:style w:type="table" w:customStyle="1" w:styleId="TableNormal">
    <w:name w:val="Table Normal"/>
    <w:tblPr>
      <w:tblCellMar>
        <w:top w:w="0" w:type="dxa"/>
        <w:left w:w="0" w:type="dxa"/>
        <w:bottom w:w="0" w:type="dxa"/>
        <w:right w:w="0" w:type="dxa"/>
      </w:tblCellMar>
    </w:tblPr>
  </w:style>
  <w:style w:type="paragraph" w:styleId="Normlnweb">
    <w:name w:val="Normal (Web)"/>
    <w:basedOn w:val="Normln"/>
    <w:uiPriority w:val="99"/>
    <w:semiHidden/>
    <w:unhideWhenUsed/>
    <w:qFormat/>
    <w:rsid w:val="0088660D"/>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739</Words>
  <Characters>4363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Vlastimil Veselý</dc:creator>
  <dc:description/>
  <cp:lastModifiedBy>Vlastimil Veselý</cp:lastModifiedBy>
  <cp:revision>3</cp:revision>
  <dcterms:created xsi:type="dcterms:W3CDTF">2025-07-01T08:13:00Z</dcterms:created>
  <dcterms:modified xsi:type="dcterms:W3CDTF">2025-07-01T08:14:00Z</dcterms:modified>
  <dc:language>cs-CZ</dc:language>
</cp:coreProperties>
</file>