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třídní učitel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Vedení třídní dokumentace -  elektronická třídní kniha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§28 zákona 561/2004 Sb., školský zákon 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 základní školy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Rodné číslo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Zdravotní pojišťovna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Adresa trvalého pobytu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Doručovací adresa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Otec / zákonný zástupce: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Jméno a příjmení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Adresa trvalého pobytu – je-li jiná než žáka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Doručovací adresa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 (popř.dat. schránka)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Matka/zákonný zástupce: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Jméno a příjmení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Adresa trvalého pobytu – je-li jiná než žáka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Doručovací adresa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 (popř.dat. schránka)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Pouze třídní učitel třídy, při opakování ročníku se předává novému TU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docházky do třídy (školy)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podoba – uloženo na volně nepřístupném místě v kabinetě třídního učitele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 elektronické podobě – Excel – heslem chráněný školní počítač TU (bez RČ) ; heslem chráněný počítač ŘŠ (včetně RČ)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