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přijímací řízení do ZŠ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přijímací řízení do ZŠ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 28 odst. 3 zákona č. 561/2004 Sb. (školský zákon)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Děti, které v daném roce do 31. 8. Dosáhnou 6 let věku (povinnost PŠD)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Dítě / 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 a příjmení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 narození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Adresa trvalého pobytu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Údaje o znevýhodnění dítěte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Zákonný zástupce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titul(y)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Místo trvalého pobytu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Doručovací adresa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Kontakty: TF / mail / datová schránka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Řediteli školy jako podklad pro správní řízení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let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 ŘŠ v uzamčené kanceláři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 dotazníků – seznam v Excelu jako podklad pro hromadnou korespondenci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