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pohledávky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Údaje nezbytné pro vymáhání pohledávek vůči zákonnému zástupci při neprovedené úhradě stravného a úplaty za vzdělávání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Školský zákon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Školní řád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Občanský zákoník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Zákonný zástupce, smluvní partneři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j</w:t>
            </w:r>
            <w:r w:rsidDel="00000000" w:rsidR="00000000" w:rsidRPr="00000000">
              <w:rPr>
                <w:color w:val="434343"/>
                <w:rtl w:val="0"/>
              </w:rPr>
              <w:t xml:space="preserve">méno a příjmení, adresa bydliště, datum narození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dítěte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jméno a příjmení a adresa bydliště zákonného zástupce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Název, IČO, adresa smluvního partnera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Soud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Exekutorský úřad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Do ukončení vymáhání pohledávky a dále dle zákonné lhůty 15 let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Ruční záznamy uloženy v šanonech v uzamčené skříni v kanceláři účetní a následně v archivní skříni do doby skartace dle platných skartačních lhůt</w:t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Datová schránka</w:t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Ruční způsob zpracování, korespondence poštou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