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fotodokumentace, soutle, výsledky, prezentace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Fotodokumentace z veřejných akcí a výsledky soutěží, diplomy – propagace školy a výsledků práce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– Souhlas studenta při zahájení studia na ZUŠ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Vyhlášení soutěží MŠMT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e) GDPR - Poskytování informací o činnosti školy, veřejná prezentace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Žáci, případně učitelé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</w:t>
            </w:r>
            <w:r w:rsidDel="00000000" w:rsidR="00000000" w:rsidRPr="00000000">
              <w:rPr>
                <w:color w:val="00000a"/>
                <w:rtl w:val="0"/>
              </w:rPr>
              <w:t xml:space="preserve">příjmení, podoba, datum narození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Zpřístupňují se selektivně s ohledem na GDPR.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 webu jsou umístěny dlouhodobě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Nástěnky, výroční zpráva, web školy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Webové stránky školy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