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29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329"/>
        <w:tblGridChange w:id="0">
          <w:tblGrid>
            <w:gridCol w:w="9329"/>
          </w:tblGrid>
        </w:tblGridChange>
      </w:tblGrid>
      <w:tr>
        <w:trPr>
          <w:trHeight w:val="1622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Testy na COVID-19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rFonts w:ascii="Arial CE" w:cs="Arial CE" w:eastAsia="Arial CE" w:hAnsi="Arial CE"/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 CE" w:cs="Arial CE" w:eastAsia="Arial CE" w:hAnsi="Arial CE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Samotestování na onemocnění COVID-19. Vytváření bezpečného a zdraví neohrožujícího pracovního prostředí. Předložení výkazu zdravotním pojišťovnám testovaných zaměstnanců k zpětnému proplacení příspěvku na antigenní testy. Doložení důkazu o provedení testů dle vládního nařízení.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9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540" w:right="120" w:firstLine="0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Zákon č. 262/2006 Sb. §102(1)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CE" w:cs="Arial CE" w:eastAsia="Arial CE" w:hAnsi="Arial C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Zákon č. 258/2000 Sb.  o ochraně veřejného zdraví</w:t>
            </w:r>
          </w:p>
          <w:p w:rsidR="00000000" w:rsidDel="00000000" w:rsidP="00000000" w:rsidRDefault="00000000" w:rsidRPr="00000000" w14:paraId="0000000B">
            <w:pPr>
              <w:ind w:left="540" w:right="120" w:firstLine="0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Zákon č. 94/2021 Sb. o mimořádných opatřeních při epidemii onemocnění COVID-19</w:t>
            </w:r>
          </w:p>
          <w:p w:rsidR="00000000" w:rsidDel="00000000" w:rsidP="00000000" w:rsidRDefault="00000000" w:rsidRPr="00000000" w14:paraId="0000000C">
            <w:pPr>
              <w:ind w:left="540" w:right="120" w:firstLine="0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Mimořádné opatření MZČR MZDR 47828/2020-16/MIN/KAN čl. III</w:t>
            </w:r>
          </w:p>
          <w:p w:rsidR="00000000" w:rsidDel="00000000" w:rsidP="00000000" w:rsidRDefault="00000000" w:rsidRPr="00000000" w14:paraId="0000000D">
            <w:pPr>
              <w:ind w:left="540" w:right="120" w:firstLine="0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Mimořádné opatření MZČR MZDR 47828/2020-24/MIN/KAN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ind w:left="540" w:right="120" w:firstLine="0"/>
              <w:rPr>
                <w:rFonts w:ascii="Arial CE" w:cs="Arial CE" w:eastAsia="Arial CE" w:hAnsi="Arial CE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Mimořádné opatření MZČR MZDR 47828/2020-26/MIN/KAN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0" w:line="276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>
                <w:rFonts w:ascii="Arial CE" w:cs="Arial CE" w:eastAsia="Arial CE" w:hAnsi="Arial CE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color w:val="000000"/>
                <w:rtl w:val="0"/>
              </w:rPr>
              <w:t xml:space="preserve">Zaměstnanci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  <w:b w:val="1"/>
                <w:color w:val="000000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Jméno, příjmení, titul, zdravotní pojišťovna, číslo pojištěnce, datum narození</w:t>
            </w:r>
          </w:p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OÚ zvláštní kategorie – pozitivita testu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jc w:val="left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60" w:before="60" w:line="240" w:lineRule="auto"/>
              <w:rPr/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Zdravotní pojišťovny, </w:t>
            </w:r>
            <w:r w:rsidDel="00000000" w:rsidR="00000000" w:rsidRPr="00000000">
              <w:rPr>
                <w:rtl w:val="0"/>
              </w:rPr>
              <w:t xml:space="preserve">orgán ochrany veřejného zdraví </w:t>
            </w:r>
          </w:p>
          <w:p w:rsidR="00000000" w:rsidDel="00000000" w:rsidP="00000000" w:rsidRDefault="00000000" w:rsidRPr="00000000" w14:paraId="00000017">
            <w:pPr>
              <w:spacing w:after="60" w:before="60" w:line="24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spacing w:after="60" w:before="60" w:line="24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60" w:before="60" w:line="240" w:lineRule="auto"/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Po dobu povinnosti doložit oprávněnost proplacení příspěvku a prokázání při kontrole ze strany zdravotních pojišťoven – opatření ochrany obyvatel V/5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A">
            <w:pPr>
              <w:spacing w:after="60" w:before="60" w:line="240" w:lineRule="auto"/>
              <w:rPr>
                <w:rFonts w:ascii="Arial CE" w:cs="Arial CE" w:eastAsia="Arial CE" w:hAnsi="Arial CE"/>
                <w:b w:val="1"/>
              </w:rPr>
            </w:pPr>
            <w:r w:rsidDel="00000000" w:rsidR="00000000" w:rsidRPr="00000000">
              <w:rPr>
                <w:rFonts w:ascii="Arial CE" w:cs="Arial CE" w:eastAsia="Arial CE" w:hAnsi="Arial CE"/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1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Databáze v listinné podobě zabezpečena v uzamykatelné místnosti a v uzamčeném prostoru.</w:t>
            </w:r>
          </w:p>
          <w:p w:rsidR="00000000" w:rsidDel="00000000" w:rsidP="00000000" w:rsidRDefault="00000000" w:rsidRPr="00000000" w14:paraId="0000001C">
            <w:pPr>
              <w:rPr>
                <w:rFonts w:ascii="Arial CE" w:cs="Arial CE" w:eastAsia="Arial CE" w:hAnsi="Arial CE"/>
              </w:rPr>
            </w:pPr>
            <w:r w:rsidDel="00000000" w:rsidR="00000000" w:rsidRPr="00000000">
              <w:rPr>
                <w:rFonts w:ascii="Arial CE" w:cs="Arial CE" w:eastAsia="Arial CE" w:hAnsi="Arial CE"/>
                <w:rtl w:val="0"/>
              </w:rPr>
              <w:t xml:space="preserve">V digitální podobě je databáze chráněna na zabezpečeném médiu. U osobních údajů zvláštní kategorie omezen přístup.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 CE" w:cs="Arial CE" w:eastAsia="Arial CE" w:hAnsi="Arial C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