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Smlouvy (fyzické osoby)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mallCaps w:val="0"/>
                <w:color w:val="000000"/>
                <w:sz w:val="24"/>
                <w:szCs w:val="24"/>
                <w:rtl w:val="0"/>
              </w:rPr>
              <w:t xml:space="preserve">Správce: …………………………………….( obec, adresa,)</w:t>
              <w:br w:type="textWrapping"/>
              <w:t xml:space="preserve">Pověřenec pro ochranu osobních údajů: 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realizace smluvního vztahu </w:t>
            </w:r>
          </w:p>
        </w:tc>
      </w:tr>
      <w:tr>
        <w:trPr>
          <w:trHeight w:val="1368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b) GDPR - zpracování nezbytné pro plnění smlouvy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20" w:before="60" w:line="240" w:lineRule="auto"/>
              <w:jc w:val="left"/>
              <w:rPr>
                <w:b w:val="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zákon č. 89/2012 Sb.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Smluvní partneři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jméno, příjmení, titul, číslo účtu, datum narození, adresa trvalého bydliště, číslo OP, RČ, telefon, e.mail, IČO, DIČ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vedení školy, admin. pracovník </w:t>
            </w:r>
          </w:p>
          <w:p w:rsidR="00000000" w:rsidDel="00000000" w:rsidP="00000000" w:rsidRDefault="00000000" w:rsidRPr="00000000" w14:paraId="00000011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pouze smluvní strany </w:t>
            </w:r>
          </w:p>
          <w:p w:rsidR="00000000" w:rsidDel="00000000" w:rsidP="00000000" w:rsidRDefault="00000000" w:rsidRPr="00000000" w14:paraId="00000012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kontrolní orgány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dle Spisového a skartačního řádu po dobu platnosti smlouvy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 šanonu v uzamčené skříni v uzamčeném prostoru kanceláře školy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