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536"/>
          <w:tab w:val="right" w:pos="9072"/>
        </w:tabs>
        <w:rPr>
          <w:rFonts w:ascii="Arial CE" w:cs="Arial CE" w:eastAsia="Arial CE" w:hAnsi="Arial C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536"/>
          <w:tab w:val="right" w:pos="9072"/>
        </w:tabs>
        <w:rPr>
          <w:rFonts w:ascii="Arial CE" w:cs="Arial CE" w:eastAsia="Arial CE" w:hAnsi="Arial C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keepNext w:val="1"/>
        <w:keepLines w:val="1"/>
        <w:numPr>
          <w:ilvl w:val="0"/>
          <w:numId w:val="1"/>
        </w:numPr>
        <w:ind w:left="0" w:firstLine="0"/>
        <w:jc w:val="center"/>
        <w:rPr>
          <w:rFonts w:ascii="Arial CE" w:cs="Arial CE" w:eastAsia="Arial CE" w:hAnsi="Arial CE"/>
        </w:rPr>
      </w:pPr>
      <w:bookmarkStart w:colFirst="0" w:colLast="0" w:name="_gjdgxs" w:id="0"/>
      <w:bookmarkEnd w:id="0"/>
      <w:r w:rsidDel="00000000" w:rsidR="00000000" w:rsidRPr="00000000">
        <w:rPr>
          <w:rFonts w:ascii="Arial CE" w:cs="Arial CE" w:eastAsia="Arial CE" w:hAnsi="Arial CE"/>
          <w:sz w:val="40"/>
          <w:szCs w:val="40"/>
          <w:rtl w:val="0"/>
        </w:rPr>
        <w:t xml:space="preserve">“Směrnice o poskytování Home office“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536"/>
          <w:tab w:val="right" w:pos="9072"/>
        </w:tabs>
        <w:rPr>
          <w:rFonts w:ascii="Arial CE" w:cs="Arial CE" w:eastAsia="Arial CE" w:hAnsi="Arial C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536"/>
          <w:tab w:val="right" w:pos="9072"/>
        </w:tabs>
        <w:rPr>
          <w:rFonts w:ascii="Arial CE" w:cs="Arial CE" w:eastAsia="Arial CE" w:hAnsi="Arial CE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7.0" w:type="dxa"/>
        <w:jc w:val="center"/>
        <w:tblLayout w:type="fixed"/>
        <w:tblLook w:val="0000"/>
      </w:tblPr>
      <w:tblGrid>
        <w:gridCol w:w="250"/>
        <w:gridCol w:w="1902"/>
        <w:gridCol w:w="2363"/>
        <w:gridCol w:w="2479"/>
        <w:gridCol w:w="1843"/>
        <w:tblGridChange w:id="0">
          <w:tblGrid>
            <w:gridCol w:w="250"/>
            <w:gridCol w:w="1902"/>
            <w:gridCol w:w="2363"/>
            <w:gridCol w:w="2479"/>
            <w:gridCol w:w="1843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CE" w:cs="Arial CE" w:eastAsia="Arial CE" w:hAnsi="Arial CE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Platnost  od: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Arial CE" w:cs="Arial CE" w:eastAsia="Arial CE" w:hAnsi="Arial CE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i w:val="1"/>
                <w:sz w:val="22"/>
                <w:szCs w:val="22"/>
                <w:rtl w:val="0"/>
              </w:rPr>
              <w:t xml:space="preserve">Dnem schválení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Platnost do: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Arial CE" w:cs="Arial CE" w:eastAsia="Arial CE" w:hAnsi="Arial CE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i w:val="1"/>
                <w:sz w:val="22"/>
                <w:szCs w:val="22"/>
                <w:rtl w:val="0"/>
              </w:rPr>
              <w:t xml:space="preserve">31. 12. 2030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CE" w:cs="Arial CE" w:eastAsia="Arial CE" w:hAnsi="Arial CE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Účinnost od: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ind w:right="-108"/>
              <w:rPr>
                <w:rFonts w:ascii="Arial CE" w:cs="Arial CE" w:eastAsia="Arial CE" w:hAnsi="Arial CE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i w:val="1"/>
                <w:sz w:val="22"/>
                <w:szCs w:val="22"/>
                <w:highlight w:val="yellow"/>
                <w:rtl w:val="0"/>
              </w:rPr>
              <w:t xml:space="preserve">xx.xx. 20xx</w:t>
            </w:r>
            <w:r w:rsidDel="00000000" w:rsidR="00000000" w:rsidRPr="00000000">
              <w:rPr>
                <w:rFonts w:ascii="Arial CE" w:cs="Arial CE" w:eastAsia="Arial CE" w:hAnsi="Arial CE"/>
                <w:i w:val="1"/>
                <w:sz w:val="22"/>
                <w:szCs w:val="22"/>
                <w:rtl w:val="0"/>
              </w:rPr>
              <w:t xml:space="preserve">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Účinnost do: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Arial CE" w:cs="Arial CE" w:eastAsia="Arial CE" w:hAnsi="Arial CE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i w:val="1"/>
                <w:sz w:val="22"/>
                <w:szCs w:val="22"/>
                <w:rtl w:val="0"/>
              </w:rPr>
              <w:t xml:space="preserve">31. 12. 2030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CE" w:cs="Arial CE" w:eastAsia="Arial CE" w:hAnsi="Arial CE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-o-o-o-o-o-o-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Arial CE" w:cs="Arial CE" w:eastAsia="Arial CE" w:hAnsi="Arial CE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Zpracovatel: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Schvalovatel: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4">
            <w:pPr>
              <w:ind w:right="-63"/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Garant směrnice: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Jméno/subjekt: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Arial CE" w:cs="Arial CE" w:eastAsia="Arial CE" w:hAnsi="Arial CE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Arial CE" w:cs="Arial CE" w:eastAsia="Arial CE" w:hAnsi="Arial CE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Arial CE" w:cs="Arial CE" w:eastAsia="Arial CE" w:hAnsi="Arial CE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CE" w:cs="Arial CE" w:eastAsia="Arial CE" w:hAnsi="Arial CE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Pracovní pozice: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Arial CE" w:cs="Arial CE" w:eastAsia="Arial CE" w:hAnsi="Arial CE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Arial CE" w:cs="Arial CE" w:eastAsia="Arial CE" w:hAnsi="Arial CE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Arial CE" w:cs="Arial CE" w:eastAsia="Arial CE" w:hAnsi="Arial CE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Revize směrnice:</w:t>
            </w:r>
            <w:r w:rsidDel="00000000" w:rsidR="00000000" w:rsidRPr="00000000">
              <w:rPr>
                <w:rFonts w:ascii="Arial CE" w:cs="Arial CE" w:eastAsia="Arial CE" w:hAnsi="Arial CE"/>
                <w:i w:val="1"/>
                <w:sz w:val="20"/>
                <w:szCs w:val="20"/>
                <w:rtl w:val="0"/>
              </w:rPr>
              <w:t xml:space="preserve"> P</w:t>
            </w:r>
            <w:r w:rsidDel="00000000" w:rsidR="00000000" w:rsidRPr="00000000">
              <w:rPr>
                <w:rFonts w:ascii="Arial CE" w:cs="Arial CE" w:eastAsia="Arial CE" w:hAnsi="Arial CE"/>
                <w:i w:val="1"/>
                <w:sz w:val="18"/>
                <w:szCs w:val="18"/>
                <w:rtl w:val="0"/>
              </w:rPr>
              <w:t xml:space="preserve">růběžně dle změn v platné legislativě ČR a organizačních změn vydavatele směrnice, minimálně 1x ročně k 31.12.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CE" w:cs="Arial CE" w:eastAsia="Arial CE" w:hAnsi="Arial CE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Datum: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3">
            <w:pPr>
              <w:ind w:left="317" w:hanging="317"/>
              <w:rPr>
                <w:rFonts w:ascii="Arial CE" w:cs="Arial CE" w:eastAsia="Arial CE" w:hAnsi="Arial C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CE" w:cs="Arial CE" w:eastAsia="Arial CE" w:hAnsi="Arial CE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Podpis: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8">
            <w:pPr>
              <w:ind w:left="317" w:hanging="317"/>
              <w:rPr>
                <w:rFonts w:ascii="Arial CE" w:cs="Arial CE" w:eastAsia="Arial CE" w:hAnsi="Arial C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CE" w:cs="Arial CE" w:eastAsia="Arial CE" w:hAnsi="Arial C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Vydáno dne: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Arial CE" w:cs="Arial CE" w:eastAsia="Arial CE" w:hAnsi="Arial C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Arial CE" w:cs="Arial CE" w:eastAsia="Arial CE" w:hAnsi="Arial C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Vydal (v PDF):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Arial CE" w:cs="Arial CE" w:eastAsia="Arial CE" w:hAnsi="Arial CE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CE" w:cs="Arial CE" w:eastAsia="Arial CE" w:hAnsi="Arial CE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 CE" w:cs="Arial CE" w:eastAsia="Arial CE" w:hAnsi="Arial CE"/>
                <w:b w:val="1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rtl w:val="0"/>
              </w:rPr>
              <w:t xml:space="preserve">ORIGINÁL TOHOTO DOKUMENTU PODLÉHÁ ŘÍZENÍ ZMĚN.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CE" w:cs="Arial CE" w:eastAsia="Arial CE" w:hAnsi="Arial C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 CE" w:cs="Arial CE" w:eastAsia="Arial CE" w:hAnsi="Arial CE"/>
                <w:sz w:val="22"/>
                <w:szCs w:val="22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sz w:val="22"/>
                <w:szCs w:val="22"/>
                <w:rtl w:val="0"/>
              </w:rPr>
              <w:t xml:space="preserve">Jakékoliv šíření a postupování třetím osobám lze provádět pouze se souhlasem zpracovatele.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Arial CE" w:cs="Arial CE" w:eastAsia="Arial CE" w:hAnsi="Arial C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 CE" w:cs="Arial CE" w:eastAsia="Arial CE" w:hAnsi="Arial C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 CE" w:cs="Arial CE" w:eastAsia="Arial CE" w:hAnsi="Arial C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 CE" w:cs="Arial CE" w:eastAsia="Arial CE" w:hAnsi="Arial C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 CE" w:cs="Arial CE" w:eastAsia="Arial CE" w:hAnsi="Arial C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 CE" w:cs="Arial CE" w:eastAsia="Arial CE" w:hAnsi="Arial C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 CE" w:cs="Arial CE" w:eastAsia="Arial CE" w:hAnsi="Arial C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 CE" w:cs="Arial CE" w:eastAsia="Arial CE" w:hAnsi="Arial C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 CE" w:cs="Arial CE" w:eastAsia="Arial CE" w:hAnsi="Arial C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 CE" w:cs="Arial CE" w:eastAsia="Arial CE" w:hAnsi="Arial C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 CE" w:cs="Arial CE" w:eastAsia="Arial CE" w:hAnsi="Arial C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 CE" w:cs="Arial CE" w:eastAsia="Arial CE" w:hAnsi="Arial C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 CE" w:cs="Arial CE" w:eastAsia="Arial CE" w:hAnsi="Arial C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 CE" w:cs="Arial CE" w:eastAsia="Arial CE" w:hAnsi="Arial C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Arial CE" w:cs="Arial CE" w:eastAsia="Arial CE" w:hAnsi="Arial CE"/>
          <w:b w:val="1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b w:val="1"/>
          <w:sz w:val="22"/>
          <w:szCs w:val="22"/>
          <w:rtl w:val="0"/>
        </w:rPr>
        <w:t xml:space="preserve">OBSAH:</w:t>
      </w:r>
    </w:p>
    <w:p w:rsidR="00000000" w:rsidDel="00000000" w:rsidP="00000000" w:rsidRDefault="00000000" w:rsidRPr="00000000" w14:paraId="00000047">
      <w:pPr>
        <w:jc w:val="center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Arial CE" w:cs="Arial CE" w:eastAsia="Arial CE" w:hAnsi="Arial CE"/>
          <w:b w:val="1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b w:val="1"/>
          <w:sz w:val="22"/>
          <w:szCs w:val="22"/>
          <w:rtl w:val="0"/>
        </w:rPr>
        <w:t xml:space="preserve">1 Účel a cíl směrnice …………………………………………………………</w:t>
        <w:tab/>
        <w:t xml:space="preserve">str. 2</w:t>
      </w:r>
    </w:p>
    <w:p w:rsidR="00000000" w:rsidDel="00000000" w:rsidP="00000000" w:rsidRDefault="00000000" w:rsidRPr="00000000" w14:paraId="0000004A">
      <w:pPr>
        <w:pStyle w:val="Heading1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2 Vymezení pojmů a základní podmínky Home office …………………</w:t>
        <w:tab/>
        <w:t xml:space="preserve">str. 2</w:t>
      </w:r>
    </w:p>
    <w:p w:rsidR="00000000" w:rsidDel="00000000" w:rsidP="00000000" w:rsidRDefault="00000000" w:rsidRPr="00000000" w14:paraId="0000004B">
      <w:pPr>
        <w:jc w:val="center"/>
        <w:rPr>
          <w:rFonts w:ascii="Arial CE" w:cs="Arial CE" w:eastAsia="Arial CE" w:hAnsi="Arial CE"/>
          <w:b w:val="1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b w:val="1"/>
          <w:sz w:val="22"/>
          <w:szCs w:val="22"/>
          <w:rtl w:val="0"/>
        </w:rPr>
        <w:t xml:space="preserve">3 Výkon práce ..……………………………………………………………….</w:t>
        <w:tab/>
        <w:t xml:space="preserve">str. 3</w:t>
      </w:r>
    </w:p>
    <w:p w:rsidR="00000000" w:rsidDel="00000000" w:rsidP="00000000" w:rsidRDefault="00000000" w:rsidRPr="00000000" w14:paraId="0000004C">
      <w:pPr>
        <w:jc w:val="center"/>
        <w:rPr>
          <w:rFonts w:ascii="Arial CE" w:cs="Arial CE" w:eastAsia="Arial CE" w:hAnsi="Arial CE"/>
          <w:b w:val="1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b w:val="1"/>
          <w:sz w:val="22"/>
          <w:szCs w:val="22"/>
          <w:rtl w:val="0"/>
        </w:rPr>
        <w:t xml:space="preserve">4 Náklady a prostředky pro výkon práce……………………………….</w:t>
        <w:tab/>
        <w:t xml:space="preserve">str. 3</w:t>
      </w:r>
    </w:p>
    <w:p w:rsidR="00000000" w:rsidDel="00000000" w:rsidP="00000000" w:rsidRDefault="00000000" w:rsidRPr="00000000" w14:paraId="0000004D">
      <w:pPr>
        <w:jc w:val="center"/>
        <w:rPr>
          <w:rFonts w:ascii="Arial CE" w:cs="Arial CE" w:eastAsia="Arial CE" w:hAnsi="Arial CE"/>
          <w:b w:val="1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b w:val="1"/>
          <w:sz w:val="22"/>
          <w:szCs w:val="22"/>
          <w:rtl w:val="0"/>
        </w:rPr>
        <w:t xml:space="preserve">5 Ochrana informací ..………………………………………………………. </w:t>
        <w:tab/>
        <w:t xml:space="preserve">str. 4</w:t>
      </w:r>
    </w:p>
    <w:p w:rsidR="00000000" w:rsidDel="00000000" w:rsidP="00000000" w:rsidRDefault="00000000" w:rsidRPr="00000000" w14:paraId="0000004E">
      <w:pPr>
        <w:jc w:val="center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b w:val="1"/>
          <w:sz w:val="22"/>
          <w:szCs w:val="22"/>
          <w:rtl w:val="0"/>
        </w:rPr>
        <w:t xml:space="preserve">6 Bezpečnost a ochrana zdraví …………………………………………….str. 4</w:t>
        <w:br w:type="textWrapping"/>
        <w:t xml:space="preserve">7 Závěrečná ustanovení………..…………………………………………….str.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 CE" w:cs="Arial CE" w:eastAsia="Arial CE" w:hAnsi="Arial CE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 CE" w:cs="Arial CE" w:eastAsia="Arial CE" w:hAnsi="Arial CE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 CE" w:cs="Arial CE" w:eastAsia="Arial CE" w:hAnsi="Arial CE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1"/>
        <w:rPr>
          <w:rFonts w:ascii="Arial CE" w:cs="Arial CE" w:eastAsia="Arial CE" w:hAnsi="Arial CE"/>
          <w:b w:val="1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Arial CE" w:cs="Arial CE" w:eastAsia="Arial CE" w:hAnsi="Arial CE"/>
          <w:b w:val="1"/>
          <w:sz w:val="28"/>
          <w:szCs w:val="28"/>
          <w:rtl w:val="0"/>
        </w:rPr>
        <w:t xml:space="preserve">1 Účel a cíl směrnice</w:t>
      </w:r>
    </w:p>
    <w:p w:rsidR="00000000" w:rsidDel="00000000" w:rsidP="00000000" w:rsidRDefault="00000000" w:rsidRPr="00000000" w14:paraId="00000056">
      <w:pPr>
        <w:rPr>
          <w:rFonts w:ascii="Arial CE" w:cs="Arial CE" w:eastAsia="Arial CE" w:hAnsi="Arial CE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Směrnice o poskytování Home office, dále jen směrnice je závazná pro zaměstnance obce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………………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dále jen zaměstnavatele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Povinností obce, je po uzavření pracovního poměru přidělovat zaměstnanci práci podle pracovní smlouvy a naopak povinností zaměstnance je podle pokynů zaměstnavatele konat práci podle pracovní smlouvy. Tato povinnost účastníků pracovního poměru není dotčena ani po vyhlášení nouzového stavu ve smyslu zákona č. 240/2000 Sb., (krizový zákon), resp. ve smyslu zákona č. 258/2000 Sb., o ochraně veřejného zdraví a o změně některých souvisejících zákonů. Omezení svobody pohybu v krizové situaci nezahrnuje cestu do zaměstnání, pobyt v zaměstnání a cestu zpět do zaměstnancova bydliště, stejně jako nařízené omezení činnosti úřadů neobsahuje pokyn, aby úřady přestali úředníkům (zaměstnancům) obecně přidělovat práci.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Směrnice v souladu se zákonem č. 262/2006 Sb., zákoníkem práce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upravuje bližší podmínky pro práci z domova (dále jen „</w:t>
      </w: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Home office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“) u zaměstnanců, kteří mají na základě dohody se zaměstnavatelem sjednanou možnost Home office využívat.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00" w:lineRule="auto"/>
        <w:ind w:left="36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Nedílnou součástí směrnice je Dohoda o výkonu práce z domova, dále jen dohoda. Tato dohoda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umožňuje zaměstnanci, který pro zaměstnavatele vykonává závislou práci, vykonávat sjednanou práci z domova a upravit bližší podmínky výkonu práce v tomto režimu.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lineRule="auto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lineRule="auto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rPr>
          <w:rFonts w:ascii="Arial CE" w:cs="Arial CE" w:eastAsia="Arial CE" w:hAnsi="Arial CE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 CE" w:cs="Arial CE" w:eastAsia="Arial CE" w:hAnsi="Arial CE"/>
          <w:sz w:val="28"/>
          <w:szCs w:val="28"/>
          <w:rtl w:val="0"/>
        </w:rPr>
        <w:t xml:space="preserve">2 Vymezení pojmů a základní podmínky Home office</w:t>
      </w:r>
    </w:p>
    <w:p w:rsidR="00000000" w:rsidDel="00000000" w:rsidP="00000000" w:rsidRDefault="00000000" w:rsidRPr="00000000" w14:paraId="0000005E">
      <w:pPr>
        <w:ind w:left="360" w:firstLine="0"/>
        <w:rPr>
          <w:rFonts w:ascii="Arial CE" w:cs="Arial CE" w:eastAsia="Arial CE" w:hAnsi="Arial CE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Rozsah, v jakém může zaměstnanec Home office využívat, pravidla týkající se rozvrhování jeho pracovní doby při využívání Home office a další související podmínky se řídí Dohodou a touto směrnicí.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Zaměstnanec bude Home office vykonávat na adrese dohodnuté se zaměstnavatelem, zpravidla v místě bydliště zaměstnance. Nespadá-li tato adresa do místa výkonu práce zaměstnance podle jeho pracovní smlouvy, bude se zaměstnancem uzavřen dodatek k pracovní smlouvě.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Dohoda může upravovat časové úseky, v jejichž rámci si bude zaměstnanec pracovní dobu rozvrhovat, zejména může Dohoda vyloučit možnost zaměstnance rozvrhovat si pracovní dobu na sobotu, neděli, svátky a v noci (tj. mezi 22. a 6. hodinou).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Zaměstnanec bude dodržovat při rozvrhování pracovní doby ustanovení zákoníku práce týkající se maximálních délek jeho pracovní směny a týdenní pracovní doby, čerpání přestávek v práci, odpočinku mezi směnami a nepřetržitého odpočinku v týdnu. Práci přesčas může zaměstnanec vykonávat jen s předchozím výslovným souhlasem zaměstnavatele.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Zaměstnanec si při využívání Home office sám povede evidenci odpracované doby, včetně veškerých přestávek mezi dobou výkonu práce, a to elektronickou formou prostřednictvím nástroje určeného zaměstnavatelem.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00" w:lineRule="auto"/>
        <w:ind w:left="36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Není-li v Dohodě uvedeno jinak, rozvrhuje zaměstnavatel pracovní dobu zaměstnance při využívání Home office pro účely poskytování náhrady mzdy v době pracovní neschopnosti zaměstnance do směn od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9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hod. do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17:30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hod. (tj. včetně půlhodinové přestávky na jídlo a oddech), a to od pondělí do pátku.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1"/>
        <w:rPr>
          <w:rFonts w:ascii="Arial CE" w:cs="Arial CE" w:eastAsia="Arial CE" w:hAnsi="Arial CE"/>
          <w:sz w:val="28"/>
          <w:szCs w:val="28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 CE" w:cs="Arial CE" w:eastAsia="Arial CE" w:hAnsi="Arial CE"/>
          <w:sz w:val="28"/>
          <w:szCs w:val="28"/>
          <w:rtl w:val="0"/>
        </w:rPr>
        <w:t xml:space="preserve">3 Výkon práce</w:t>
      </w:r>
    </w:p>
    <w:p w:rsidR="00000000" w:rsidDel="00000000" w:rsidP="00000000" w:rsidRDefault="00000000" w:rsidRPr="00000000" w14:paraId="00000067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Zaměstnanec bude při Home office vykonávat práci v takové kvalitě, množství a způsobem, jako by ji vykonával na pracovišti zaměstnavatele. Pokud o to zaměstnavatel požádá, poskytne mu zaměstnanec vždy informaci o tom, na jakém úkolu právě pracuje a jaký je jeho stav.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Pomoc jakýchkoli třetích osob zaměstnanci při využívání Home office (např. rodinných příslušníků apod.) je vyloučena, zaměstnanec je povinen konat práci výlučně osobně.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Způsob předávání výsledků práce zaměstnance určuje zaměstnavatel, zpravidla budou tyto výsledky předávány elektronickou formou prostřednictvím nástroje určeného zaměstnavatelem.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 případě jakýchkoli problémů se zaměstnanec během Home office může obrátit na svého nadřízeného.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1"/>
        <w:rPr>
          <w:rFonts w:ascii="Arial CE" w:cs="Arial CE" w:eastAsia="Arial CE" w:hAnsi="Arial CE"/>
          <w:sz w:val="28"/>
          <w:szCs w:val="28"/>
        </w:rPr>
      </w:pPr>
      <w:bookmarkStart w:colFirst="0" w:colLast="0" w:name="_tyjcwt" w:id="5"/>
      <w:bookmarkEnd w:id="5"/>
      <w:r w:rsidDel="00000000" w:rsidR="00000000" w:rsidRPr="00000000">
        <w:rPr>
          <w:rFonts w:ascii="Arial CE" w:cs="Arial CE" w:eastAsia="Arial CE" w:hAnsi="Arial CE"/>
          <w:sz w:val="28"/>
          <w:szCs w:val="28"/>
          <w:rtl w:val="0"/>
        </w:rPr>
        <w:t xml:space="preserve">4 Náklady a prostředky pro výkon práce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Náklady na výkon práce při Home office (energie, teplo, telekomunikační služby, připojení k internetu apod.), nese zaměstnavatel, který je bude zaměstnanci kompenzovat paušální částkou uvedenou v Dohodě o výkonu práce z domova. Tato náhrada není součástí mzdy zaměstnance.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Pokud by zaměstnanci při Home office vznikaly vyšší náklady, nahradí je zaměstnavatel na základě oznámení zaměstnance a prokázání jejich skutečné výše.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Zaměstnavatel vybaví zaměstnance potřebnými zařízeními pro výkon práce při Home office (zejména pracovním počítačem a mobilním telefonem). Zaměstnanec má povinnost s těmito zařízeními řádně hospodařit, střežit je a ochraňovat před poškozením, ztrátou, zničením a zneužitím. V případě poskytnutí zařízení, jejichž cena přesahuje 50.000 Kč, bude se zaměstnancem uzavřena dohoda o odpovědnosti za ztrátu svěřených věcí.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Jakékoli škody nebo závady vzniklé na poskytnutých zařízeních zaměstnanec neprodleně oznámí zaměstnavateli. Bez předchozího souhlasu zaměstnavatele nesmí zaměstnanec používat poskytnutá zařízení pro soukromé účely ani je přenechat k užívání třetím osobám.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Zaměstnanci při jiných důležitých osobních překážkách v práci při využívání Home office nepřísluší náhrada mzdy, s výjimkou překážek výslovně uvedených v prováděcím předpise (kterým je aktuálně nařízení vlády č. 590/2006 Sb., kterým se stanoví okruh a rozsah jiných důležitých osobních překážek v práci, ve znění pozdějších předpisů). Zaměstnanec nemá při využívání Home office nárok na cestovní náhrady (nejedná se o pracovní cestu).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1"/>
        <w:rPr>
          <w:rFonts w:ascii="Arial CE" w:cs="Arial CE" w:eastAsia="Arial CE" w:hAnsi="Arial CE"/>
          <w:sz w:val="28"/>
          <w:szCs w:val="28"/>
        </w:rPr>
      </w:pPr>
      <w:bookmarkStart w:colFirst="0" w:colLast="0" w:name="_3dy6vkm" w:id="6"/>
      <w:bookmarkEnd w:id="6"/>
      <w:r w:rsidDel="00000000" w:rsidR="00000000" w:rsidRPr="00000000">
        <w:rPr>
          <w:rFonts w:ascii="Arial CE" w:cs="Arial CE" w:eastAsia="Arial CE" w:hAnsi="Arial CE"/>
          <w:sz w:val="28"/>
          <w:szCs w:val="28"/>
          <w:rtl w:val="0"/>
        </w:rPr>
        <w:t xml:space="preserve">5 Ochrana informací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Pokud zaměstnanec bude při výkonu své práce zpracovávat osobní údaje, je vázán mlčenlivostí a je povinen zajistit ochranu těchto osobních údajů před jejich zneužitím třetí osobou, nebo jejich zveřejněním, pokud k tomu neobdržel předchozí písemný souhlas subjektů údajů. Při zpracování těchto osobních údajů je zaměstnanec povinen dodržovat příslušné obecně závazné právní předpisy České republiky, zejm. zákon č. 110/2019 Sb., o zpracování osobních údajů, v platném znění, předpisy Evropské unie, zejm. nařízení Evropského parlamentu a rady (EU) 2016/679 (tzv. GDPR) a související vnitřní předpisy zaměstnavatele, zejm. směrnici o ochraně osobních údajů.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Povinnost mlčenlivosti sjednaná se zaměstnancem se uplatní i při Home office. Pokud zaměstnanec pracuje z domova, musí dbát na odpovídající ochranu důvěrných informací ve vztahu ke všem třetím osobám, které se na jeho pracovišti při výkonu Home office mohou vyskytnout.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00" w:lineRule="auto"/>
        <w:ind w:left="36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 ohledem na bezpečnostní standardy zaměstnavatele, povinnost ochrany osobních údajů a důvěrných informací nesmí zaměstnanec ani při Home office používat žádná svá soukromá zařízení pro práci s daty nebo dokumenty zaměstnavatele, přístupy, programy nebo systémy, platformami nebo účty v zaměstnavatelem využívaných službách.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b w:val="1"/>
        </w:rPr>
      </w:pPr>
      <w:r w:rsidDel="00000000" w:rsidR="00000000" w:rsidRPr="00000000">
        <w:rPr>
          <w:rFonts w:ascii="Arial CE" w:cs="Arial CE" w:eastAsia="Arial CE" w:hAnsi="Arial CE"/>
          <w:b w:val="1"/>
          <w:sz w:val="28"/>
          <w:szCs w:val="28"/>
          <w:rtl w:val="0"/>
        </w:rPr>
        <w:t xml:space="preserve">6 Bezpečnost a ochrana zdraví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Zaměstnanec je při Home office povinen dodržovat veškerá pravidla a zásady bezpečnosti práce tak, jak s nimi byl zaměstnavatelem seznámen, a to ve vztahu k místu, kde bude Home office vykonávat. Zaměstnanec nesmí využívat Home office dříve, než dojde k tomuto seznámení.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 případě pochybností o své bezpečnosti při Home office bude zaměstnanec bezodkladně informovat zaměstnavatele o nastalém problému a předá mu veškeré potřebné informace, včetně fotografií pracoviště zaměstnance, bude-li to vhodné tak, aby situaci i na dálku mohl posoudit bezpečnostní technik zaměstnavatele. V případě potřeby konzultace některé z otázek bezpečnosti práce z domova se může zaměstnanec prostřednictvím zaměstnavatele spojit s příslušným bezpečnostním technikem.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Zaměstnanec bude oznamovat zaměstnavateli jakékoli nedostatky a závady na pracovním místě, kde vykonává Home office, které ohrožují nebo by mohly ohrozit bezpečnost zaměstnance nebo jeho zdraví při práci, a podle svých možností se bude podílet na jejich odstraňování.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Zaměstnanec oznámí zaměstnavateli jakékoli zdravotní komplikace, které mají nebo mohou mít souvislost s Home office, a pokud to bude nutné, navštíví příslušného lékaře. Případnou dočasnou pracovní neschopnost zaměstnanec oznámí zaměstnavateli (zejména emailem nebo telefonicky) ihned poté, co se o ní dozví.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Za všech okolností bude zaměstnanec jednat opatrně, s dostatečnou péčí a obezřetností. Zaměstnanec se zdrží veškeré činnosti, při nichž se v domácnosti zvyšuje riziko pracovního úrazu.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Zaměstnavatel neodpovídá za škodu, kterou zaměstnanec utrpí v době výkonu Home office, pokud nemá přímou souvislost s výkonem práce, ani za škodu na soukromých zařízeních a předmětech, které zaměstnanec použil k výkonu práce z domova bez předchozího souhlasu zaměstnavatele.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00" w:lineRule="auto"/>
        <w:ind w:left="36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Podmínkou uzavření Dohody je souhlas zaměstnance s tím, že zaměstnavatel bude moci ve vymezených případech vstupovat do míst, v nichž zaměstnanec vykonává Home office. Bližší podmínky budou upraveny v Dohodě.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b w:val="1"/>
        </w:rPr>
      </w:pPr>
      <w:r w:rsidDel="00000000" w:rsidR="00000000" w:rsidRPr="00000000">
        <w:rPr>
          <w:rFonts w:ascii="Arial CE" w:cs="Arial CE" w:eastAsia="Arial CE" w:hAnsi="Arial CE"/>
          <w:b w:val="1"/>
          <w:sz w:val="28"/>
          <w:szCs w:val="28"/>
          <w:rtl w:val="0"/>
        </w:rPr>
        <w:t xml:space="preserve">7 Závěrečná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rPr>
          <w:rFonts w:ascii="Arial CE" w:cs="Arial CE" w:eastAsia="Arial CE" w:hAnsi="Arial C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Tato Směrnice byla schválena zastupitelstvem obce dne </w:t>
      </w:r>
      <w:r w:rsidDel="00000000" w:rsidR="00000000" w:rsidRPr="00000000">
        <w:rPr>
          <w:rFonts w:ascii="Arial CE" w:cs="Arial CE" w:eastAsia="Arial CE" w:hAnsi="Arial CE"/>
          <w:sz w:val="22"/>
          <w:szCs w:val="22"/>
          <w:highlight w:val="yellow"/>
          <w:rtl w:val="0"/>
        </w:rPr>
        <w:t xml:space="preserve">………….</w:t>
      </w: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 usnesením č. </w:t>
      </w:r>
      <w:r w:rsidDel="00000000" w:rsidR="00000000" w:rsidRPr="00000000">
        <w:rPr>
          <w:rFonts w:ascii="Arial CE" w:cs="Arial CE" w:eastAsia="Arial CE" w:hAnsi="Arial CE"/>
          <w:sz w:val="22"/>
          <w:szCs w:val="22"/>
          <w:highlight w:val="yellow"/>
          <w:rtl w:val="0"/>
        </w:rPr>
        <w:t xml:space="preserve">………..….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a nabývá účinnosti dne </w:t>
      </w:r>
      <w:r w:rsidDel="00000000" w:rsidR="00000000" w:rsidRPr="00000000">
        <w:rPr>
          <w:rFonts w:ascii="Arial CE" w:cs="Arial CE" w:eastAsia="Arial CE" w:hAnsi="Arial CE"/>
          <w:sz w:val="22"/>
          <w:szCs w:val="22"/>
          <w:highlight w:val="yellow"/>
          <w:rtl w:val="0"/>
        </w:rPr>
        <w:t xml:space="preserve">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pos="567"/>
        </w:tabs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pos="567"/>
        </w:tabs>
        <w:ind w:left="426" w:hanging="427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pos="567"/>
        </w:tabs>
        <w:ind w:left="426" w:hanging="427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pos="567"/>
        </w:tabs>
        <w:ind w:left="426" w:hanging="427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pos="567"/>
        </w:tabs>
        <w:ind w:left="426" w:hanging="427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pos="567"/>
        </w:tabs>
        <w:ind w:left="426" w:hanging="427"/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Arial CE" w:cs="Arial CE" w:eastAsia="Arial CE" w:hAnsi="Arial C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pos="4536"/>
        </w:tabs>
        <w:rPr>
          <w:rFonts w:ascii="Arial CE" w:cs="Arial CE" w:eastAsia="Arial CE" w:hAnsi="Arial CE"/>
          <w:sz w:val="22"/>
          <w:szCs w:val="22"/>
        </w:rPr>
      </w:pPr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…………………………….</w:t>
        <w:tab/>
      </w:r>
    </w:p>
    <w:p w:rsidR="00000000" w:rsidDel="00000000" w:rsidP="00000000" w:rsidRDefault="00000000" w:rsidRPr="00000000" w14:paraId="00000098">
      <w:pPr>
        <w:tabs>
          <w:tab w:val="left" w:pos="4536"/>
        </w:tabs>
        <w:rPr>
          <w:rFonts w:ascii="Arial CE" w:cs="Arial CE" w:eastAsia="Arial CE" w:hAnsi="Arial CE"/>
          <w:b w:val="1"/>
          <w:color w:val="ff0000"/>
          <w:sz w:val="22"/>
          <w:szCs w:val="22"/>
        </w:rPr>
      </w:pPr>
      <w:bookmarkStart w:colFirst="0" w:colLast="0" w:name="_1t3h5sf" w:id="7"/>
      <w:bookmarkEnd w:id="7"/>
      <w:r w:rsidDel="00000000" w:rsidR="00000000" w:rsidRPr="00000000">
        <w:rPr>
          <w:rFonts w:ascii="Arial CE" w:cs="Arial CE" w:eastAsia="Arial CE" w:hAnsi="Arial CE"/>
          <w:sz w:val="22"/>
          <w:szCs w:val="22"/>
          <w:rtl w:val="0"/>
        </w:rPr>
        <w:t xml:space="preserve">Starosta obce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8" w:top="1134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C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jc w:val="center"/>
    </w:pPr>
    <w:rPr>
      <w:rFonts w:ascii="Arial" w:cs="Arial" w:eastAsia="Arial" w:hAnsi="Arial"/>
      <w:b w:val="1"/>
      <w:color w:val="ff0000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ind w:left="284" w:hanging="284"/>
    </w:pPr>
    <w:rPr/>
  </w:style>
  <w:style w:type="paragraph" w:styleId="Heading5">
    <w:name w:val="heading 5"/>
    <w:basedOn w:val="Normal"/>
    <w:next w:val="Normal"/>
    <w:pPr>
      <w:spacing w:after="60" w:before="240" w:lineRule="auto"/>
      <w:ind w:left="1287" w:hanging="1287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2007" w:hanging="2007"/>
    </w:pPr>
    <w:rPr>
      <w:b w:val="1"/>
      <w:sz w:val="22"/>
      <w:szCs w:val="22"/>
    </w:rPr>
  </w:style>
  <w:style w:type="paragraph" w:styleId="Title">
    <w:name w:val="Title"/>
    <w:basedOn w:val="Normal"/>
    <w:next w:val="Normal"/>
    <w:pPr/>
    <w:rPr>
      <w:rFonts w:ascii="Arial" w:cs="Arial" w:eastAsia="Arial" w:hAnsi="Arial"/>
      <w:b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