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536"/>
          <w:tab w:val="right" w:pos="9072"/>
        </w:tabs>
        <w:rPr>
          <w:rFonts w:ascii="Arial CE" w:cs="Arial CE" w:eastAsia="Arial CE" w:hAnsi="Arial C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536"/>
          <w:tab w:val="right" w:pos="9072"/>
        </w:tabs>
        <w:rPr>
          <w:rFonts w:ascii="Arial CE" w:cs="Arial CE" w:eastAsia="Arial CE" w:hAnsi="Arial C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1"/>
        <w:keepLines w:val="1"/>
        <w:numPr>
          <w:ilvl w:val="0"/>
          <w:numId w:val="1"/>
        </w:numPr>
        <w:ind w:left="0" w:firstLine="0"/>
        <w:jc w:val="center"/>
        <w:rPr>
          <w:rFonts w:ascii="Arial CE" w:cs="Arial CE" w:eastAsia="Arial CE" w:hAnsi="Arial CE"/>
        </w:rPr>
      </w:pPr>
      <w:bookmarkStart w:colFirst="0" w:colLast="0" w:name="_gjdgxs" w:id="0"/>
      <w:bookmarkEnd w:id="0"/>
      <w:r w:rsidDel="00000000" w:rsidR="00000000" w:rsidRPr="00000000">
        <w:rPr>
          <w:rFonts w:ascii="Arial CE" w:cs="Arial CE" w:eastAsia="Arial CE" w:hAnsi="Arial CE"/>
          <w:sz w:val="40"/>
          <w:szCs w:val="40"/>
          <w:rtl w:val="0"/>
        </w:rPr>
        <w:t xml:space="preserve">“Směrnice k řízení a omezení rizik“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536"/>
          <w:tab w:val="right" w:pos="9072"/>
        </w:tabs>
        <w:rPr>
          <w:rFonts w:ascii="Arial CE" w:cs="Arial CE" w:eastAsia="Arial CE" w:hAnsi="Arial C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536"/>
          <w:tab w:val="right" w:pos="9072"/>
        </w:tabs>
        <w:rPr>
          <w:rFonts w:ascii="Arial CE" w:cs="Arial CE" w:eastAsia="Arial CE" w:hAnsi="Arial CE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7.0" w:type="dxa"/>
        <w:jc w:val="center"/>
        <w:tblLayout w:type="fixed"/>
        <w:tblLook w:val="0000"/>
      </w:tblPr>
      <w:tblGrid>
        <w:gridCol w:w="250"/>
        <w:gridCol w:w="1902"/>
        <w:gridCol w:w="2363"/>
        <w:gridCol w:w="2479"/>
        <w:gridCol w:w="1843"/>
        <w:tblGridChange w:id="0">
          <w:tblGrid>
            <w:gridCol w:w="250"/>
            <w:gridCol w:w="1902"/>
            <w:gridCol w:w="2363"/>
            <w:gridCol w:w="2479"/>
            <w:gridCol w:w="1843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Platnost  od: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i w:val="1"/>
                <w:sz w:val="22"/>
                <w:szCs w:val="22"/>
                <w:rtl w:val="0"/>
              </w:rPr>
              <w:t xml:space="preserve">Dnem schválení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Platnost do: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i w:val="1"/>
                <w:sz w:val="22"/>
                <w:szCs w:val="22"/>
                <w:rtl w:val="0"/>
              </w:rPr>
              <w:t xml:space="preserve">31. 12. 2030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Účinnost od: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right="-108"/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i w:val="1"/>
                <w:sz w:val="22"/>
                <w:szCs w:val="22"/>
                <w:highlight w:val="yellow"/>
                <w:rtl w:val="0"/>
              </w:rPr>
              <w:t xml:space="preserve">xx.xx. 20xx</w:t>
            </w:r>
            <w:r w:rsidDel="00000000" w:rsidR="00000000" w:rsidRPr="00000000">
              <w:rPr>
                <w:rFonts w:ascii="Arial CE" w:cs="Arial CE" w:eastAsia="Arial CE" w:hAnsi="Arial CE"/>
                <w:i w:val="1"/>
                <w:sz w:val="22"/>
                <w:szCs w:val="22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Účinnost 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i w:val="1"/>
                <w:sz w:val="22"/>
                <w:szCs w:val="22"/>
                <w:rtl w:val="0"/>
              </w:rPr>
              <w:t xml:space="preserve">31. 12. 2030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-o-o-o-o-o-o-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Zpracovatel: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Schvalovatel: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ind w:right="-63"/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Garant směrnice: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Jméno/subjekt: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Pracovní pozice: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Revize směrnice:</w:t>
            </w:r>
            <w:r w:rsidDel="00000000" w:rsidR="00000000" w:rsidRPr="00000000">
              <w:rPr>
                <w:rFonts w:ascii="Arial CE" w:cs="Arial CE" w:eastAsia="Arial CE" w:hAnsi="Arial CE"/>
                <w:i w:val="1"/>
                <w:sz w:val="20"/>
                <w:szCs w:val="20"/>
                <w:rtl w:val="0"/>
              </w:rPr>
              <w:t xml:space="preserve"> P</w:t>
            </w:r>
            <w:r w:rsidDel="00000000" w:rsidR="00000000" w:rsidRPr="00000000">
              <w:rPr>
                <w:rFonts w:ascii="Arial CE" w:cs="Arial CE" w:eastAsia="Arial CE" w:hAnsi="Arial CE"/>
                <w:i w:val="1"/>
                <w:sz w:val="18"/>
                <w:szCs w:val="18"/>
                <w:rtl w:val="0"/>
              </w:rPr>
              <w:t xml:space="preserve">růběžně dle změn v platné legislativě ČR a organizačních změn vydavatele směrnice, minimálně 1x ročně k 31.12.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Datum: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3">
            <w:pPr>
              <w:ind w:left="317" w:hanging="317"/>
              <w:rPr>
                <w:rFonts w:ascii="Arial CE" w:cs="Arial CE" w:eastAsia="Arial CE" w:hAnsi="Arial 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Podpis: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ind w:left="317" w:hanging="317"/>
              <w:rPr>
                <w:rFonts w:ascii="Arial CE" w:cs="Arial CE" w:eastAsia="Arial CE" w:hAnsi="Arial 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Vydáno dne: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 CE" w:cs="Arial CE" w:eastAsia="Arial CE" w:hAnsi="Arial C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Vydal (v PDF):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CE" w:cs="Arial CE" w:eastAsia="Arial CE" w:hAnsi="Arial CE"/>
                <w:b w:val="1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rtl w:val="0"/>
              </w:rPr>
              <w:t xml:space="preserve">ORIGINÁL TOHOTO DOKUMENTU PODLÉHÁ ŘÍZENÍ ZMĚN.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 CE" w:cs="Arial CE" w:eastAsia="Arial CE" w:hAnsi="Arial CE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Jakékoliv šíření a postupování třetím osobám lze provádět pouze se souhlasem zpracovatele.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OBSAH:</w:t>
      </w:r>
    </w:p>
    <w:p w:rsidR="00000000" w:rsidDel="00000000" w:rsidP="00000000" w:rsidRDefault="00000000" w:rsidRPr="00000000" w14:paraId="00000042">
      <w:pPr>
        <w:jc w:val="center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1 Účel a cíl směrnice …………………………………………………………</w:t>
        <w:tab/>
        <w:t xml:space="preserve">str. 2</w:t>
      </w:r>
    </w:p>
    <w:p w:rsidR="00000000" w:rsidDel="00000000" w:rsidP="00000000" w:rsidRDefault="00000000" w:rsidRPr="00000000" w14:paraId="00000045">
      <w:pPr>
        <w:pStyle w:val="Heading1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2 Vymezení pojmů ……………………………………………………………</w:t>
        <w:tab/>
        <w:t xml:space="preserve">str. 2</w:t>
      </w:r>
    </w:p>
    <w:p w:rsidR="00000000" w:rsidDel="00000000" w:rsidP="00000000" w:rsidRDefault="00000000" w:rsidRPr="00000000" w14:paraId="00000046">
      <w:pPr>
        <w:jc w:val="center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3 Odpovědnost ……………………………………………………………….</w:t>
        <w:tab/>
        <w:t xml:space="preserve">str. 3</w:t>
      </w:r>
    </w:p>
    <w:p w:rsidR="00000000" w:rsidDel="00000000" w:rsidP="00000000" w:rsidRDefault="00000000" w:rsidRPr="00000000" w14:paraId="00000047">
      <w:pPr>
        <w:jc w:val="center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4 Systém řízení rizik………………………………………………………….</w:t>
        <w:tab/>
        <w:t xml:space="preserve">str. 3</w:t>
      </w:r>
    </w:p>
    <w:p w:rsidR="00000000" w:rsidDel="00000000" w:rsidP="00000000" w:rsidRDefault="00000000" w:rsidRPr="00000000" w14:paraId="00000048">
      <w:pPr>
        <w:jc w:val="center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5 Závěrečná ustanovení ……………………………………………………. </w:t>
        <w:tab/>
        <w:t xml:space="preserve">str. 4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rPr>
          <w:rFonts w:ascii="Arial CE" w:cs="Arial CE" w:eastAsia="Arial CE" w:hAnsi="Arial CE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Arial CE" w:cs="Arial CE" w:eastAsia="Arial CE" w:hAnsi="Arial CE"/>
          <w:b w:val="1"/>
          <w:sz w:val="28"/>
          <w:szCs w:val="28"/>
          <w:rtl w:val="0"/>
        </w:rPr>
        <w:t xml:space="preserve">1 Účel a cíl směrnice</w:t>
      </w:r>
    </w:p>
    <w:p w:rsidR="00000000" w:rsidDel="00000000" w:rsidP="00000000" w:rsidRDefault="00000000" w:rsidRPr="00000000" w14:paraId="00000058">
      <w:pPr>
        <w:rPr>
          <w:rFonts w:ascii="Arial CE" w:cs="Arial CE" w:eastAsia="Arial CE" w:hAnsi="Arial CE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Směrnice k řízení a omezení rizik (dále jen „Směrnice“) nastavuje systém řízení rizik k provedení povinností stanovených vedoucím zaměstnancům dle § 25 odst. 4 zákona č. 320/2001 Sb., o finanční kontrole ve veřejné správě a o změně některých zákonů (zákon o finanční kontrole), ve znění pozdějších předpisů. Tato povinnost se podle §2 písm. a tohoto zákona vztahuje na právnické osoby zřízené k plnění úkolů veřejné správy zvláštním právním předpisem (§8 odst. 1 zákona č. 561/2004 Sb.), kterými jsou školy a školské organizace zřízené jako příspěvkové organizace obce.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když není možno všechna rizika plně eliminovat, cílem směrnice je být si vědom možného rizika a řádně s ním pracovat.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Směrnice je závazná pro zaměstnance školy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lineRule="auto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lineRule="auto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lineRule="auto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rPr>
          <w:rFonts w:ascii="Arial CE" w:cs="Arial CE" w:eastAsia="Arial CE" w:hAnsi="Arial CE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 CE" w:cs="Arial CE" w:eastAsia="Arial CE" w:hAnsi="Arial CE"/>
          <w:sz w:val="28"/>
          <w:szCs w:val="28"/>
          <w:rtl w:val="0"/>
        </w:rPr>
        <w:t xml:space="preserve">2 Vymezení pojmů</w:t>
      </w:r>
    </w:p>
    <w:p w:rsidR="00000000" w:rsidDel="00000000" w:rsidP="00000000" w:rsidRDefault="00000000" w:rsidRPr="00000000" w14:paraId="00000060">
      <w:pPr>
        <w:ind w:left="360" w:firstLine="0"/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Riziko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potenciální událost v budoucnosti s negativními následky.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Řízení rizik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integrální součástí každého rozhodování v organizaci. Jedná se o soustavnou činnost, jejímž cílem je omezit pravděpodobnost výskytu rizik nebo snížit jejich dopad. Účelem řízení rizik je předejít problémům či negativním jevům, tj. zamezit vzniku problémů a vyhnout se tím nutnosti krizového řízení. V souvislosti s plněním záměrů a cílů organizace se jedná o systematickou a metodickou činnost organizovanou v rámci vnitřního řídícího a kontrolního systému tak, aby tento systém včas zjišťoval, vyhodnocoval a minimalizoval provozní, finanční, právní a jiná rizika.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Významnost rizika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relativní důležitost rizika pro organizaci, která je vyjádřena součinem pravděpodobnosti rizika a dopadu rizika.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Pravděpodobnost rizika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míra pravděpodobnosti výskytu rizikové události v budoucnosti měřená na škále 1 až 5 (1 nejméně pravděpodobné, 5 nejvíce pravděpodobné).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Dopad rizika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rozsah negativního dopadu či ztráty, která organizaci vznikne v případě výskytu rizikové události. Měří se na škále 1 až 5 (1 nejmenší negativní dopad, 5 největší negativní dopad).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Mapa rizik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výsledek analýzy rizik; tabulkový přehled identifikovaných rizik s přiřazenou hodnotou rizika, seřazených podle jejich významnosti. Mapa rizik je nedílnou součástí směrnice.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Vedoucí zaměstnanec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ředitel, nebo zástupce ředitele.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Vyvarování se rizika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takový postup, kdy se předem známé rizikové zpracování údajů nezavede, či nahradí jinou operací. Je nutno zvážit, zda tímto postupem nevznikne jiné riziko, které může být ještě významnější.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Redukce rizika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přijetí nápravných opatření vedoucích ke snížení pravděpodobnosti výskytu rizika nebo jeho dopadu na přijatelnou mez. </w:t>
      </w:r>
    </w:p>
    <w:p w:rsidR="00000000" w:rsidDel="00000000" w:rsidP="00000000" w:rsidRDefault="00000000" w:rsidRPr="00000000" w14:paraId="0000006A">
      <w:pPr>
        <w:pStyle w:val="Heading1"/>
        <w:rPr>
          <w:rFonts w:ascii="Arial CE" w:cs="Arial CE" w:eastAsia="Arial CE" w:hAnsi="Arial CE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rPr>
          <w:rFonts w:ascii="Arial CE" w:cs="Arial CE" w:eastAsia="Arial CE" w:hAnsi="Arial CE"/>
          <w:sz w:val="28"/>
          <w:szCs w:val="28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 CE" w:cs="Arial CE" w:eastAsia="Arial CE" w:hAnsi="Arial CE"/>
          <w:sz w:val="28"/>
          <w:szCs w:val="28"/>
          <w:rtl w:val="0"/>
        </w:rPr>
        <w:t xml:space="preserve">3 Odpovědnost</w:t>
      </w:r>
    </w:p>
    <w:p w:rsidR="00000000" w:rsidDel="00000000" w:rsidP="00000000" w:rsidRDefault="00000000" w:rsidRPr="00000000" w14:paraId="0000006D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 školy odpovídá za zavedení a udržování vnitřního kontrolního systému, který je způsobilý včas zjišťovat, vyhodnocovat a minimalizovat provozní, finanční, právní a jiná rizika vznikající v souvislosti s plněním schválených záměrů a cílů. Odpovídá za koordinaci při zpracování aktuální Mapy rizik.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Vedoucí zaměstnanec odpovídá za řízení rizik v rámci jeho působnosti, tj. zejména za: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vyhledávání a včasné rozpoznávání rizik v jím řízeném útvaru,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včasné informování o existenci významných rizik a předkládání návrhů pro účely rozhodování a přijímání opatření k vyloučení nebo minimalizaci rizik,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průběžné sledování identifikovaných rizik a včasnou reakci na nastalou bezprostřední hrozbu nežádoucího dopadu rizika,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rozhodnutí k minimalizaci dopadů rizik,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včasné předávání podkladů ke zpracování aktualizace Mapy rizik ; v případě zjištění závažného rizika neuvedeného v Mapě rizik bez zbytečného odkladu.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Každý zaměstnanec odpovídá za včasné oznámení rizik vztahujících se k jeho činnosti svému nadřízenému zaměstnanci.</w:t>
      </w:r>
    </w:p>
    <w:p w:rsidR="00000000" w:rsidDel="00000000" w:rsidP="00000000" w:rsidRDefault="00000000" w:rsidRPr="00000000" w14:paraId="00000076">
      <w:pPr>
        <w:spacing w:after="120" w:lineRule="auto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rPr>
          <w:rFonts w:ascii="Arial CE" w:cs="Arial CE" w:eastAsia="Arial CE" w:hAnsi="Arial CE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Fonts w:ascii="Arial CE" w:cs="Arial CE" w:eastAsia="Arial CE" w:hAnsi="Arial CE"/>
          <w:sz w:val="28"/>
          <w:szCs w:val="28"/>
          <w:rtl w:val="0"/>
        </w:rPr>
        <w:t xml:space="preserve">4 Systém řízení rizik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Systém řízení rizik jako součást vnitřního řídícího a kontrolního systému je stanoven pro hodnocení, řešení a snižování dopadů rizik hospodárným a účinným způsobem.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systému řízení rizik jsou zapojeni všichni vedoucí zaměstnanci.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Systém řízení rizik probíhá v na sebe navazujících fázích:</w:t>
      </w:r>
    </w:p>
    <w:p w:rsidR="00000000" w:rsidDel="00000000" w:rsidP="00000000" w:rsidRDefault="00000000" w:rsidRPr="00000000" w14:paraId="0000007D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1069" w:firstLine="0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Identifikace rizik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 je pravidelné a kontinuální sledování všech probíhajících interních a externích událostí, které ovlivňují naplňování stanovených cílů, tj. co by mohlo ohrozit činnost, jak často a proč. Seznam nejdůležitějších identifikovaných potenciálních rizik je zpracován v Mapě rizik. Identifikace rizik probíhá minimálně 1x ročně formou aktualizace seznamu rizik uvedených v Mapě rizik.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ind w:left="1069" w:firstLine="65.99999999999994"/>
        <w:jc w:val="left"/>
        <w:rPr>
          <w:rFonts w:ascii="Arial CE" w:cs="Arial CE" w:eastAsia="Arial CE" w:hAnsi="Arial CE"/>
          <w:b w:val="0"/>
          <w:sz w:val="22"/>
          <w:szCs w:val="22"/>
        </w:rPr>
      </w:pPr>
      <w:bookmarkStart w:colFirst="0" w:colLast="0" w:name="_3dy6vkm" w:id="6"/>
      <w:bookmarkEnd w:id="6"/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Hodnocení rizik </w:t>
      </w:r>
      <w:r w:rsidDel="00000000" w:rsidR="00000000" w:rsidRPr="00000000">
        <w:rPr>
          <w:rFonts w:ascii="Arial CE" w:cs="Arial CE" w:eastAsia="Arial CE" w:hAnsi="Arial CE"/>
          <w:b w:val="0"/>
          <w:sz w:val="22"/>
          <w:szCs w:val="22"/>
          <w:rtl w:val="0"/>
        </w:rPr>
        <w:t xml:space="preserve">je hodnocení pravděpodobnosti vzniku rizika a významnosti jeho dopadu. Je to systematický proces zkoumání aspektů rizik. Předmětem hodnocení každého rizika je pravděpodobnost vzniku rizika a významnost jeho dopadu. Pro hodnocení jsou stanovena hodnotící kritéria: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Hodnocení pravděpodobnosti vzniku rizika </w:t>
        <w:tab/>
        <w:tab/>
        <w:t xml:space="preserve">      </w:t>
        <w:tab/>
        <w:t xml:space="preserve">                </w:t>
      </w:r>
    </w:p>
    <w:p w:rsidR="00000000" w:rsidDel="00000000" w:rsidP="00000000" w:rsidRDefault="00000000" w:rsidRPr="00000000" w14:paraId="00000084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color w:val="ff0000"/>
          <w:sz w:val="22"/>
          <w:szCs w:val="22"/>
          <w:rtl w:val="0"/>
        </w:rPr>
        <w:tab/>
        <w:t xml:space="preserve">  </w:t>
      </w:r>
    </w:p>
    <w:tbl>
      <w:tblPr>
        <w:tblStyle w:val="Table2"/>
        <w:tblW w:w="6825.0" w:type="dxa"/>
        <w:jc w:val="left"/>
        <w:tblInd w:w="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5"/>
        <w:gridCol w:w="1005"/>
        <w:gridCol w:w="4665"/>
        <w:tblGridChange w:id="0">
          <w:tblGrid>
            <w:gridCol w:w="1155"/>
            <w:gridCol w:w="1005"/>
            <w:gridCol w:w="4665"/>
          </w:tblGrid>
        </w:tblGridChange>
      </w:tblGrid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Stupeň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   Výskyt rizikového jevu je: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1-20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   - téměř nepravděpodobný = velmi malý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21-40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   - výjimečně možný = malý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41-60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   - běžně možný = střední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61-80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   - pravděpodobný = vysoký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81-100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   - vysoce pravděpodobný = velmi vysoký</w:t>
            </w:r>
          </w:p>
        </w:tc>
      </w:tr>
    </w:tbl>
    <w:p w:rsidR="00000000" w:rsidDel="00000000" w:rsidP="00000000" w:rsidRDefault="00000000" w:rsidRPr="00000000" w14:paraId="00000097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Hodnocení významnosti dopadu rizika</w:t>
      </w:r>
    </w:p>
    <w:tbl>
      <w:tblPr>
        <w:tblStyle w:val="Table3"/>
        <w:tblW w:w="6590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4"/>
        <w:gridCol w:w="993"/>
        <w:gridCol w:w="4394"/>
        <w:tblGridChange w:id="0">
          <w:tblGrid>
            <w:gridCol w:w="1204"/>
            <w:gridCol w:w="993"/>
            <w:gridCol w:w="4394"/>
          </w:tblGrid>
        </w:tblGridChange>
      </w:tblGrid>
      <w:tr>
        <w:trPr>
          <w:trHeight w:val="17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9B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Stupeň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   Dopad rizika je: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1-20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   - téměř neznatelný = velmi malý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21-40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   - nízký = malý 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41-60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   - znatelný = střední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61-80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   - významný = vysoký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81-100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right="-70"/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   - velmi významný = velmi vysoký</w:t>
            </w:r>
          </w:p>
        </w:tc>
      </w:tr>
    </w:tbl>
    <w:p w:rsidR="00000000" w:rsidDel="00000000" w:rsidP="00000000" w:rsidRDefault="00000000" w:rsidRPr="00000000" w14:paraId="000000AD">
      <w:pPr>
        <w:pStyle w:val="Heading4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ab/>
        <w:t xml:space="preserve"> 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426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426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360" w:lineRule="auto"/>
        <w:ind w:left="1135" w:firstLine="0"/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Výsledkem hodnocení rizik je součin hodnot pravděpodobnosti vzniku rizika a významnosti jeho dopadu. Na základě hodnocení jsou identifikovaná rizika rozřazena do tří skupin: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firstLine="709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Hodnocení rizika (pravděpodobnost x dopad)</w:t>
      </w:r>
    </w:p>
    <w:p w:rsidR="00000000" w:rsidDel="00000000" w:rsidP="00000000" w:rsidRDefault="00000000" w:rsidRPr="00000000" w14:paraId="000000B4">
      <w:pPr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520.0" w:type="dxa"/>
        <w:jc w:val="left"/>
        <w:tblInd w:w="35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1260"/>
        <w:tblGridChange w:id="0">
          <w:tblGrid>
            <w:gridCol w:w="1260"/>
            <w:gridCol w:w="1260"/>
          </w:tblGrid>
        </w:tblGridChange>
      </w:tblGrid>
      <w:tr>
        <w:tc>
          <w:tcPr>
            <w:tcBorders>
              <w:bottom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0B5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16-25</w:t>
            </w:r>
          </w:p>
        </w:tc>
        <w:tc>
          <w:tcPr>
            <w:tcBorders>
              <w:bottom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0B6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vysoké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B7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6 - 15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B8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střední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B9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1 - 5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BA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nízké</w:t>
            </w:r>
          </w:p>
        </w:tc>
      </w:tr>
    </w:tbl>
    <w:p w:rsidR="00000000" w:rsidDel="00000000" w:rsidP="00000000" w:rsidRDefault="00000000" w:rsidRPr="00000000" w14:paraId="000000BB">
      <w:pPr>
        <w:pStyle w:val="Heading1"/>
        <w:ind w:left="1418" w:firstLine="0"/>
        <w:jc w:val="left"/>
        <w:rPr>
          <w:rFonts w:ascii="Arial CE" w:cs="Arial CE" w:eastAsia="Arial CE" w:hAnsi="Arial CE"/>
          <w:sz w:val="22"/>
          <w:szCs w:val="22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1"/>
        <w:ind w:left="1418" w:firstLine="0"/>
        <w:jc w:val="left"/>
        <w:rPr>
          <w:rFonts w:ascii="Arial CE" w:cs="Arial CE" w:eastAsia="Arial CE" w:hAnsi="Arial CE"/>
          <w:b w:val="0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Opatření ke snížení rizik </w:t>
      </w:r>
      <w:r w:rsidDel="00000000" w:rsidR="00000000" w:rsidRPr="00000000">
        <w:rPr>
          <w:rFonts w:ascii="Arial CE" w:cs="Arial CE" w:eastAsia="Arial CE" w:hAnsi="Arial CE"/>
          <w:b w:val="0"/>
          <w:sz w:val="22"/>
          <w:szCs w:val="22"/>
          <w:rtl w:val="0"/>
        </w:rPr>
        <w:t xml:space="preserve">je stanovení opatření k předcházení, vyloučení nebo minimalizaci rizik. Vedoucí zaměstnanec s využitím znalosti problematiky dle oblasti své působnosti definuje takové opatření ke snížení či úplné eliminaci rizik, které je účelné, hospodárné a efektivní, a formuluje jej do tabulky v Mapě rizik.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jc w:val="left"/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1"/>
        <w:ind w:left="1418" w:firstLine="0"/>
        <w:jc w:val="left"/>
        <w:rPr>
          <w:rFonts w:ascii="Arial CE" w:cs="Arial CE" w:eastAsia="Arial CE" w:hAnsi="Arial CE"/>
          <w:b w:val="0"/>
          <w:sz w:val="22"/>
          <w:szCs w:val="22"/>
        </w:rPr>
      </w:pPr>
      <w:bookmarkStart w:colFirst="0" w:colLast="0" w:name="_2s8eyo1" w:id="9"/>
      <w:bookmarkEnd w:id="9"/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Monitoring rizik </w:t>
      </w:r>
      <w:r w:rsidDel="00000000" w:rsidR="00000000" w:rsidRPr="00000000">
        <w:rPr>
          <w:rFonts w:ascii="Arial CE" w:cs="Arial CE" w:eastAsia="Arial CE" w:hAnsi="Arial CE"/>
          <w:b w:val="0"/>
          <w:sz w:val="22"/>
          <w:szCs w:val="22"/>
          <w:rtl w:val="0"/>
        </w:rPr>
        <w:t xml:space="preserve">je proces, jehož cílem je identifikovat nová rizika, zjistit již neaktuální rizika a sledovat účinnost přijatých opatření k řízení stávajících rizik, popř. stanovit opatření nová. Monitoring rizik je prováděn průběžně, minimálně 1x ročně je zaznamenán v Mapě rizik.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rPr>
          <w:rFonts w:ascii="Arial CE" w:cs="Arial CE" w:eastAsia="Arial CE" w:hAnsi="Arial CE"/>
          <w:sz w:val="28"/>
          <w:szCs w:val="28"/>
        </w:rPr>
      </w:pPr>
      <w:bookmarkStart w:colFirst="0" w:colLast="0" w:name="_17dp8vu" w:id="10"/>
      <w:bookmarkEnd w:id="10"/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1"/>
        <w:rPr>
          <w:rFonts w:ascii="Arial CE" w:cs="Arial CE" w:eastAsia="Arial CE" w:hAnsi="Arial CE"/>
          <w:sz w:val="28"/>
          <w:szCs w:val="28"/>
        </w:rPr>
      </w:pPr>
      <w:r w:rsidDel="00000000" w:rsidR="00000000" w:rsidRPr="00000000">
        <w:rPr>
          <w:rFonts w:ascii="Arial CE" w:cs="Arial CE" w:eastAsia="Arial CE" w:hAnsi="Arial CE"/>
          <w:sz w:val="28"/>
          <w:szCs w:val="28"/>
          <w:rtl w:val="0"/>
        </w:rPr>
        <w:br w:type="textWrapping"/>
        <w:t xml:space="preserve">5 Závěrečná ustanovení</w:t>
      </w:r>
    </w:p>
    <w:p w:rsidR="00000000" w:rsidDel="00000000" w:rsidP="00000000" w:rsidRDefault="00000000" w:rsidRPr="00000000" w14:paraId="000000C3">
      <w:pPr>
        <w:widowControl w:val="0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Tato Směrnice byla vydána dne 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highlight w:val="yellow"/>
          <w:rtl w:val="0"/>
        </w:rPr>
        <w:t xml:space="preserve">………….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 ředitelem školy a nabývá účinnosti dne 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highlight w:val="yellow"/>
          <w:rtl w:val="0"/>
        </w:rPr>
        <w:t xml:space="preserve">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567"/>
        </w:tabs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567"/>
        </w:tabs>
        <w:ind w:left="426" w:hanging="427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567"/>
        </w:tabs>
        <w:ind w:left="426" w:hanging="427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567"/>
        </w:tabs>
        <w:ind w:left="426" w:hanging="427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567"/>
        </w:tabs>
        <w:ind w:left="426" w:hanging="427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4536"/>
        </w:tabs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…………………………….</w:t>
        <w:tab/>
      </w:r>
    </w:p>
    <w:p w:rsidR="00000000" w:rsidDel="00000000" w:rsidP="00000000" w:rsidRDefault="00000000" w:rsidRPr="00000000" w14:paraId="000000CC">
      <w:pPr>
        <w:tabs>
          <w:tab w:val="left" w:pos="4536"/>
        </w:tabs>
        <w:rPr>
          <w:rFonts w:ascii="Arial CE" w:cs="Arial CE" w:eastAsia="Arial CE" w:hAnsi="Arial CE"/>
          <w:b w:val="1"/>
          <w:color w:val="ff0000"/>
          <w:sz w:val="22"/>
          <w:szCs w:val="22"/>
        </w:rPr>
      </w:pPr>
      <w:bookmarkStart w:colFirst="0" w:colLast="0" w:name="_3rdcrjn" w:id="11"/>
      <w:bookmarkEnd w:id="11"/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Ředitel školy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134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C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712" w:hanging="360"/>
      </w:pPr>
      <w:rPr/>
    </w:lvl>
    <w:lvl w:ilvl="1">
      <w:start w:val="1"/>
      <w:numFmt w:val="lowerLetter"/>
      <w:lvlText w:val="%2."/>
      <w:lvlJc w:val="left"/>
      <w:pPr>
        <w:ind w:left="2432" w:hanging="360"/>
      </w:pPr>
      <w:rPr/>
    </w:lvl>
    <w:lvl w:ilvl="2">
      <w:start w:val="1"/>
      <w:numFmt w:val="lowerRoman"/>
      <w:lvlText w:val="%3."/>
      <w:lvlJc w:val="right"/>
      <w:pPr>
        <w:ind w:left="3152" w:hanging="180"/>
      </w:pPr>
      <w:rPr/>
    </w:lvl>
    <w:lvl w:ilvl="3">
      <w:start w:val="1"/>
      <w:numFmt w:val="decimal"/>
      <w:lvlText w:val="%4."/>
      <w:lvlJc w:val="left"/>
      <w:pPr>
        <w:ind w:left="3872" w:hanging="360"/>
      </w:pPr>
      <w:rPr/>
    </w:lvl>
    <w:lvl w:ilvl="4">
      <w:start w:val="1"/>
      <w:numFmt w:val="lowerLetter"/>
      <w:lvlText w:val="%5."/>
      <w:lvlJc w:val="left"/>
      <w:pPr>
        <w:ind w:left="4592" w:hanging="360"/>
      </w:pPr>
      <w:rPr/>
    </w:lvl>
    <w:lvl w:ilvl="5">
      <w:start w:val="1"/>
      <w:numFmt w:val="lowerRoman"/>
      <w:lvlText w:val="%6."/>
      <w:lvlJc w:val="right"/>
      <w:pPr>
        <w:ind w:left="5312" w:hanging="180"/>
      </w:pPr>
      <w:rPr/>
    </w:lvl>
    <w:lvl w:ilvl="6">
      <w:start w:val="1"/>
      <w:numFmt w:val="decimal"/>
      <w:lvlText w:val="%7."/>
      <w:lvlJc w:val="left"/>
      <w:pPr>
        <w:ind w:left="6032" w:hanging="360"/>
      </w:pPr>
      <w:rPr/>
    </w:lvl>
    <w:lvl w:ilvl="7">
      <w:start w:val="1"/>
      <w:numFmt w:val="lowerLetter"/>
      <w:lvlText w:val="%8."/>
      <w:lvlJc w:val="left"/>
      <w:pPr>
        <w:ind w:left="6752" w:hanging="360"/>
      </w:pPr>
      <w:rPr/>
    </w:lvl>
    <w:lvl w:ilvl="8">
      <w:start w:val="1"/>
      <w:numFmt w:val="lowerRoman"/>
      <w:lvlText w:val="%9."/>
      <w:lvlJc w:val="right"/>
      <w:pPr>
        <w:ind w:left="747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Arial" w:cs="Arial" w:eastAsia="Arial" w:hAnsi="Arial"/>
      <w:b w:val="1"/>
      <w:color w:val="ff0000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ind w:left="284" w:hanging="284"/>
    </w:pPr>
    <w:rPr/>
  </w:style>
  <w:style w:type="paragraph" w:styleId="Heading5">
    <w:name w:val="heading 5"/>
    <w:basedOn w:val="Normal"/>
    <w:next w:val="Normal"/>
    <w:pPr>
      <w:spacing w:after="60" w:before="240" w:lineRule="auto"/>
      <w:ind w:left="1287" w:hanging="1287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2007" w:hanging="2007"/>
    </w:pPr>
    <w:rPr>
      <w:b w:val="1"/>
      <w:sz w:val="22"/>
      <w:szCs w:val="22"/>
    </w:rPr>
  </w:style>
  <w:style w:type="paragraph" w:styleId="Title">
    <w:name w:val="Title"/>
    <w:basedOn w:val="Normal"/>
    <w:next w:val="Normal"/>
    <w:pPr/>
    <w:rPr>
      <w:rFonts w:ascii="Arial" w:cs="Arial" w:eastAsia="Arial" w:hAnsi="Arial"/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