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Přístup do WIFI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Přístup do WIFI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127/2005 Sb., - Zákon o elektronických komunikacích a o změně některých souvisejících zákonů,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20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357/2012 Sb., - Vyhláška o uchovávání, předávání a likvidaci provozních a lokalizačních údajů,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Učitelé, účetní, připojené osoby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Email, Nick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222222"/>
                <w:sz w:val="19"/>
                <w:szCs w:val="19"/>
                <w:rtl w:val="0"/>
              </w:rPr>
              <w:t xml:space="preserve">IP adresa počítače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Správci systému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Bez omezení – po dobu připojení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WiFi -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Dle ustanovení § 97 odst. 3 zákona o elektronických komunikacích se provozní a lokalizační údaje (osobní údaje) uchovávají po dobu 6 měsíců.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