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Rule="auto"/>
        <w:rPr/>
      </w:pPr>
      <w:r w:rsidDel="00000000" w:rsidR="00000000" w:rsidRPr="00000000">
        <w:rPr>
          <w:rtl w:val="0"/>
        </w:rPr>
      </w:r>
    </w:p>
    <w:tbl>
      <w:tblPr>
        <w:tblStyle w:val="Table1"/>
        <w:tblW w:w="9255.0" w:type="dxa"/>
        <w:jc w:val="left"/>
        <w:tblInd w:w="0.0" w:type="dxa"/>
        <w:tblBorders>
          <w:top w:color="00000a" w:space="0" w:sz="12" w:val="single"/>
          <w:left w:color="00000a" w:space="0" w:sz="12" w:val="single"/>
          <w:bottom w:color="00000a" w:space="0" w:sz="12" w:val="single"/>
          <w:right w:color="00000a" w:space="0" w:sz="12" w:val="single"/>
          <w:insideH w:color="00000a" w:space="0" w:sz="12" w:val="single"/>
          <w:insideV w:color="00000a" w:space="0" w:sz="12" w:val="single"/>
        </w:tblBorders>
        <w:tblLayout w:type="fixed"/>
        <w:tblLook w:val="0000"/>
      </w:tblPr>
      <w:tblGrid>
        <w:gridCol w:w="9255"/>
        <w:tblGridChange w:id="0">
          <w:tblGrid>
            <w:gridCol w:w="9255"/>
          </w:tblGrid>
        </w:tblGridChange>
      </w:tblGrid>
      <w:tr>
        <w:trPr>
          <w:trHeight w:val="1633" w:hRule="atLeast"/>
        </w:trPr>
        <w:tc>
          <w:tcPr>
            <w:tcBorders>
              <w:top w:color="00000a" w:space="0" w:sz="12" w:val="single"/>
              <w:left w:color="00000a" w:space="0" w:sz="12" w:val="single"/>
              <w:bottom w:color="00000a" w:space="0" w:sz="12" w:val="single"/>
              <w:right w:color="00000a" w:space="0" w:sz="12" w:val="single"/>
            </w:tcBorders>
            <w:shd w:fill="fbe5d5" w:val="clear"/>
            <w:vAlign w:val="center"/>
          </w:tcPr>
          <w:p w:rsidR="00000000" w:rsidDel="00000000" w:rsidP="00000000" w:rsidRDefault="00000000" w:rsidRPr="00000000" w14:paraId="00000002">
            <w:pPr>
              <w:spacing w:after="60" w:before="60" w:line="240" w:lineRule="auto"/>
              <w:jc w:val="center"/>
              <w:rPr/>
            </w:pPr>
            <w:r w:rsidDel="00000000" w:rsidR="00000000" w:rsidRPr="00000000">
              <w:rPr>
                <w:b w:val="1"/>
                <w:color w:val="000000"/>
                <w:rtl w:val="0"/>
              </w:rPr>
              <w:t xml:space="preserve">Záznam o činnostech zpracování </w:t>
            </w:r>
            <w:r w:rsidDel="00000000" w:rsidR="00000000" w:rsidRPr="00000000">
              <w:rPr>
                <w:rtl w:val="0"/>
              </w:rPr>
            </w:r>
          </w:p>
          <w:p w:rsidR="00000000" w:rsidDel="00000000" w:rsidP="00000000" w:rsidRDefault="00000000" w:rsidRPr="00000000" w14:paraId="00000003">
            <w:pPr>
              <w:spacing w:after="60" w:before="60" w:line="240" w:lineRule="auto"/>
              <w:jc w:val="center"/>
              <w:rPr/>
            </w:pPr>
            <w:r w:rsidDel="00000000" w:rsidR="00000000" w:rsidRPr="00000000">
              <w:rPr>
                <w:b w:val="1"/>
                <w:color w:val="000000"/>
                <w:rtl w:val="0"/>
              </w:rPr>
              <w:t xml:space="preserve">Matrika - cizina </w:t>
              <w:br w:type="textWrapping"/>
              <w:t xml:space="preserve">čl. 30 odst. 1 obecného nařízení o ochraně osobních údajů (GDPR)</w:t>
            </w:r>
            <w:r w:rsidDel="00000000" w:rsidR="00000000" w:rsidRPr="00000000">
              <w:rPr>
                <w:rtl w:val="0"/>
              </w:rPr>
            </w:r>
          </w:p>
          <w:p w:rsidR="00000000" w:rsidDel="00000000" w:rsidP="00000000" w:rsidRDefault="00000000" w:rsidRPr="00000000" w14:paraId="00000004">
            <w:pPr>
              <w:spacing w:after="60" w:before="60" w:line="240" w:lineRule="auto"/>
              <w:jc w:val="center"/>
              <w:rPr>
                <w:b w:val="1"/>
                <w:color w:val="000000"/>
              </w:rPr>
            </w:pPr>
            <w:r w:rsidDel="00000000" w:rsidR="00000000" w:rsidRPr="00000000">
              <w:rPr>
                <w:rtl w:val="0"/>
              </w:rPr>
            </w:r>
          </w:p>
          <w:p w:rsidR="00000000" w:rsidDel="00000000" w:rsidP="00000000" w:rsidRDefault="00000000" w:rsidRPr="00000000" w14:paraId="00000005">
            <w:pPr>
              <w:spacing w:after="60" w:before="60" w:line="240" w:lineRule="auto"/>
              <w:jc w:val="left"/>
              <w:rPr/>
            </w:pPr>
            <w:r w:rsidDel="00000000" w:rsidR="00000000" w:rsidRPr="00000000">
              <w:rPr>
                <w:b w:val="1"/>
                <w:color w:val="000000"/>
                <w:rtl w:val="0"/>
              </w:rPr>
              <w:t xml:space="preserve">Správce: </w:t>
            </w:r>
            <w:r w:rsidDel="00000000" w:rsidR="00000000" w:rsidRPr="00000000">
              <w:rPr>
                <w:b w:val="1"/>
                <w:i w:val="1"/>
                <w:color w:val="000000"/>
                <w:rtl w:val="0"/>
              </w:rPr>
              <w:t xml:space="preserve">…………………………………….( obec, adresa,)</w:t>
            </w:r>
            <w:r w:rsidDel="00000000" w:rsidR="00000000" w:rsidRPr="00000000">
              <w:rPr>
                <w:b w:val="1"/>
                <w:color w:val="000000"/>
                <w:rtl w:val="0"/>
              </w:rPr>
              <w:br w:type="textWrapping"/>
              <w:t xml:space="preserve">Pověřenec pro ochranu osobních údajů: </w:t>
            </w:r>
            <w:r w:rsidDel="00000000" w:rsidR="00000000" w:rsidRPr="00000000">
              <w:rPr>
                <w:b w:val="1"/>
                <w:i w:val="1"/>
                <w:color w:val="000000"/>
                <w:rtl w:val="0"/>
              </w:rPr>
              <w:t xml:space="preserve">Ing. Jan Gubáš , gubas@catania.cz</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06">
            <w:pPr>
              <w:spacing w:after="60" w:before="60" w:line="240" w:lineRule="auto"/>
              <w:jc w:val="left"/>
              <w:rPr>
                <w:b w:val="1"/>
                <w:color w:val="000000"/>
              </w:rPr>
            </w:pPr>
            <w:r w:rsidDel="00000000" w:rsidR="00000000" w:rsidRPr="00000000">
              <w:rPr>
                <w:b w:val="1"/>
                <w:color w:val="000000"/>
                <w:rtl w:val="0"/>
              </w:rPr>
              <w:t xml:space="preserve">I. Účely zpracování</w:t>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fbe5d5" w:val="clear"/>
            <w:vAlign w:val="center"/>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left"/>
              <w:rPr>
                <w:b w:val="1"/>
              </w:rPr>
            </w:pPr>
            <w:r w:rsidDel="00000000" w:rsidR="00000000" w:rsidRPr="00000000">
              <w:rPr>
                <w:b w:val="0"/>
                <w:i w:val="0"/>
                <w:strike w:val="0"/>
                <w:color w:val="000000"/>
                <w:sz w:val="20"/>
                <w:szCs w:val="20"/>
                <w:u w:val="none"/>
                <w:rtl w:val="0"/>
              </w:rPr>
              <w:t xml:space="preserve">Právní povinnost - Matrika předávání OÚ do zahraničí</w:t>
            </w:r>
            <w:r w:rsidDel="00000000" w:rsidR="00000000" w:rsidRPr="00000000">
              <w:rPr>
                <w:rtl w:val="0"/>
              </w:rPr>
            </w:r>
          </w:p>
        </w:tc>
      </w:tr>
      <w:tr>
        <w:trPr>
          <w:trHeight w:val="1368"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08">
            <w:pPr>
              <w:spacing w:after="120" w:before="60" w:line="240" w:lineRule="auto"/>
              <w:jc w:val="left"/>
              <w:rPr>
                <w:b w:val="1"/>
              </w:rPr>
            </w:pPr>
            <w:r w:rsidDel="00000000" w:rsidR="00000000" w:rsidRPr="00000000">
              <w:rPr>
                <w:b w:val="1"/>
                <w:color w:val="000000"/>
                <w:rtl w:val="0"/>
              </w:rPr>
              <w:t xml:space="preserve">Čl. 6 odst. 1 písm. c) GDPR - zpracování nezbytné pro plnění právní povinnosti:</w:t>
            </w:r>
            <w:r w:rsidDel="00000000" w:rsidR="00000000" w:rsidRPr="00000000">
              <w:rPr>
                <w:rtl w:val="0"/>
              </w:rPr>
            </w:r>
          </w:p>
          <w:p w:rsidR="00000000" w:rsidDel="00000000" w:rsidP="00000000" w:rsidRDefault="00000000" w:rsidRPr="00000000" w14:paraId="00000009">
            <w:pPr>
              <w:widowControl w:val="0"/>
              <w:spacing w:after="0" w:before="0" w:line="240" w:lineRule="auto"/>
              <w:rPr/>
            </w:pPr>
            <w:r w:rsidDel="00000000" w:rsidR="00000000" w:rsidRPr="00000000">
              <w:rPr>
                <w:b w:val="0"/>
                <w:i w:val="0"/>
                <w:strike w:val="0"/>
                <w:color w:val="000000"/>
                <w:sz w:val="20"/>
                <w:szCs w:val="20"/>
                <w:u w:val="none"/>
                <w:rtl w:val="0"/>
              </w:rPr>
              <w:t xml:space="preserve">301/2000 Sb., - Zákon o matrikách, jménu a příjmení,</w:t>
            </w:r>
            <w:r w:rsidDel="00000000" w:rsidR="00000000" w:rsidRPr="00000000">
              <w:rPr>
                <w:rtl w:val="0"/>
              </w:rPr>
            </w:r>
          </w:p>
          <w:p w:rsidR="00000000" w:rsidDel="00000000" w:rsidP="00000000" w:rsidRDefault="00000000" w:rsidRPr="00000000" w14:paraId="0000000A">
            <w:pPr>
              <w:jc w:val="left"/>
              <w:rPr/>
            </w:pPr>
            <w:r w:rsidDel="00000000" w:rsidR="00000000" w:rsidRPr="00000000">
              <w:rPr>
                <w:b w:val="0"/>
                <w:i w:val="0"/>
                <w:strike w:val="0"/>
                <w:color w:val="000000"/>
                <w:sz w:val="20"/>
                <w:szCs w:val="20"/>
                <w:u w:val="none"/>
                <w:rtl w:val="0"/>
              </w:rPr>
              <w:t xml:space="preserve">133/2000 Sb., - Zákon o evidenci obyvatel,</w:t>
            </w:r>
            <w:r w:rsidDel="00000000" w:rsidR="00000000" w:rsidRPr="00000000">
              <w:rPr>
                <w:rtl w:val="0"/>
              </w:rPr>
            </w:r>
          </w:p>
          <w:p w:rsidR="00000000" w:rsidDel="00000000" w:rsidP="00000000" w:rsidRDefault="00000000" w:rsidRPr="00000000" w14:paraId="0000000B">
            <w:pPr>
              <w:jc w:val="left"/>
              <w:rPr/>
            </w:pPr>
            <w:r w:rsidDel="00000000" w:rsidR="00000000" w:rsidRPr="00000000">
              <w:rPr>
                <w:b w:val="0"/>
                <w:i w:val="0"/>
                <w:strike w:val="0"/>
                <w:color w:val="000000"/>
                <w:sz w:val="20"/>
                <w:szCs w:val="20"/>
                <w:u w:val="none"/>
                <w:rtl w:val="0"/>
              </w:rPr>
              <w:t xml:space="preserve">128/2000 Sb., - Zákon o obcích,</w:t>
            </w:r>
            <w:r w:rsidDel="00000000" w:rsidR="00000000" w:rsidRPr="00000000">
              <w:rPr>
                <w:rtl w:val="0"/>
              </w:rPr>
            </w:r>
          </w:p>
          <w:p w:rsidR="00000000" w:rsidDel="00000000" w:rsidP="00000000" w:rsidRDefault="00000000" w:rsidRPr="00000000" w14:paraId="0000000C">
            <w:pPr>
              <w:jc w:val="left"/>
              <w:rPr/>
            </w:pPr>
            <w:r w:rsidDel="00000000" w:rsidR="00000000" w:rsidRPr="00000000">
              <w:rPr>
                <w:b w:val="0"/>
                <w:i w:val="0"/>
                <w:strike w:val="0"/>
                <w:color w:val="000000"/>
                <w:sz w:val="20"/>
                <w:szCs w:val="20"/>
                <w:u w:val="none"/>
                <w:rtl w:val="0"/>
              </w:rPr>
              <w:t xml:space="preserve">111/2009 Sb., - Zákon o základních registrech,</w:t>
            </w:r>
            <w:r w:rsidDel="00000000" w:rsidR="00000000" w:rsidRPr="00000000">
              <w:rPr>
                <w:rtl w:val="0"/>
              </w:rPr>
            </w:r>
          </w:p>
          <w:p w:rsidR="00000000" w:rsidDel="00000000" w:rsidP="00000000" w:rsidRDefault="00000000" w:rsidRPr="00000000" w14:paraId="0000000D">
            <w:pPr>
              <w:jc w:val="left"/>
              <w:rPr/>
            </w:pPr>
            <w:r w:rsidDel="00000000" w:rsidR="00000000" w:rsidRPr="00000000">
              <w:rPr>
                <w:b w:val="0"/>
                <w:i w:val="0"/>
                <w:strike w:val="0"/>
                <w:color w:val="000000"/>
                <w:sz w:val="20"/>
                <w:szCs w:val="20"/>
                <w:u w:val="none"/>
                <w:rtl w:val="0"/>
              </w:rPr>
              <w:t xml:space="preserve">500/2004 Sb., - Správní řád,</w:t>
            </w:r>
            <w:r w:rsidDel="00000000" w:rsidR="00000000" w:rsidRPr="00000000">
              <w:rPr>
                <w:rtl w:val="0"/>
              </w:rPr>
            </w:r>
          </w:p>
          <w:p w:rsidR="00000000" w:rsidDel="00000000" w:rsidP="00000000" w:rsidRDefault="00000000" w:rsidRPr="00000000" w14:paraId="0000000E">
            <w:pPr>
              <w:jc w:val="left"/>
              <w:rPr/>
            </w:pPr>
            <w:r w:rsidDel="00000000" w:rsidR="00000000" w:rsidRPr="00000000">
              <w:rPr>
                <w:b w:val="0"/>
                <w:i w:val="0"/>
                <w:strike w:val="0"/>
                <w:color w:val="000000"/>
                <w:sz w:val="20"/>
                <w:szCs w:val="20"/>
                <w:u w:val="none"/>
                <w:rtl w:val="0"/>
              </w:rPr>
              <w:t xml:space="preserve">634/2004 Sb., - Zákon o správních poplatcích,</w:t>
            </w:r>
            <w:r w:rsidDel="00000000" w:rsidR="00000000" w:rsidRPr="00000000">
              <w:rPr>
                <w:rtl w:val="0"/>
              </w:rPr>
            </w:r>
          </w:p>
          <w:p w:rsidR="00000000" w:rsidDel="00000000" w:rsidP="00000000" w:rsidRDefault="00000000" w:rsidRPr="00000000" w14:paraId="0000000F">
            <w:pPr>
              <w:jc w:val="left"/>
              <w:rPr/>
            </w:pPr>
            <w:r w:rsidDel="00000000" w:rsidR="00000000" w:rsidRPr="00000000">
              <w:rPr>
                <w:b w:val="0"/>
                <w:i w:val="0"/>
                <w:strike w:val="0"/>
                <w:color w:val="000000"/>
                <w:sz w:val="20"/>
                <w:szCs w:val="20"/>
                <w:u w:val="none"/>
                <w:rtl w:val="0"/>
              </w:rPr>
              <w:t xml:space="preserve">207/2001 Sb., - Vyhláška, kterou se provádí zákon o matrikách, jménu a příjmení</w:t>
            </w:r>
            <w:r w:rsidDel="00000000" w:rsidR="00000000" w:rsidRPr="00000000">
              <w:rPr>
                <w:rtl w:val="0"/>
              </w:rPr>
            </w:r>
          </w:p>
          <w:p w:rsidR="00000000" w:rsidDel="00000000" w:rsidP="00000000" w:rsidRDefault="00000000" w:rsidRPr="00000000" w14:paraId="00000010">
            <w:pPr>
              <w:spacing w:after="200" w:before="0" w:line="276" w:lineRule="auto"/>
              <w:jc w:val="left"/>
              <w:rPr/>
            </w:pPr>
            <w:r w:rsidDel="00000000" w:rsidR="00000000" w:rsidRPr="00000000">
              <w:rPr>
                <w:b w:val="0"/>
                <w:i w:val="0"/>
                <w:strike w:val="0"/>
                <w:color w:val="000000"/>
                <w:sz w:val="20"/>
                <w:szCs w:val="20"/>
                <w:u w:val="none"/>
                <w:rtl w:val="0"/>
              </w:rPr>
              <w:t xml:space="preserve">89/2012 Sb., - Občanský zákoník,</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1">
            <w:pPr>
              <w:spacing w:after="60" w:before="60" w:line="240" w:lineRule="auto"/>
              <w:jc w:val="left"/>
              <w:rPr>
                <w:b w:val="1"/>
              </w:rPr>
            </w:pPr>
            <w:r w:rsidDel="00000000" w:rsidR="00000000" w:rsidRPr="00000000">
              <w:rPr>
                <w:b w:val="1"/>
                <w:color w:val="000000"/>
                <w:rtl w:val="0"/>
              </w:rPr>
              <w:t xml:space="preserve">II. Kategorie subjektů údajů</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2">
            <w:pPr>
              <w:spacing w:after="60" w:before="60" w:line="240" w:lineRule="auto"/>
              <w:rPr>
                <w:color w:val="000000"/>
              </w:rPr>
            </w:pP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3">
            <w:pPr>
              <w:spacing w:after="60" w:before="60" w:line="240" w:lineRule="auto"/>
              <w:jc w:val="left"/>
              <w:rPr>
                <w:b w:val="1"/>
                <w:color w:val="000000"/>
              </w:rPr>
            </w:pPr>
            <w:r w:rsidDel="00000000" w:rsidR="00000000" w:rsidRPr="00000000">
              <w:rPr>
                <w:b w:val="1"/>
                <w:color w:val="000000"/>
                <w:rtl w:val="0"/>
              </w:rPr>
              <w:t xml:space="preserve">III. Kategorie osobních údajů</w:t>
            </w:r>
          </w:p>
        </w:tc>
      </w:tr>
      <w:tr>
        <w:trPr>
          <w:trHeight w:val="79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4">
            <w:pPr>
              <w:widowControl w:val="0"/>
              <w:spacing w:after="0" w:before="0" w:line="240" w:lineRule="auto"/>
              <w:rPr/>
            </w:pPr>
            <w:r w:rsidDel="00000000" w:rsidR="00000000" w:rsidRPr="00000000">
              <w:rPr>
                <w:b w:val="0"/>
                <w:i w:val="0"/>
                <w:strike w:val="0"/>
                <w:color w:val="000000"/>
                <w:sz w:val="20"/>
                <w:szCs w:val="20"/>
                <w:u w:val="none"/>
                <w:rtl w:val="0"/>
              </w:rPr>
              <w:t xml:space="preserve">Jméno, příjmení, titul, rodné jméno, rodné příjmení, rodiče, trvalé bydliště rodičů, místo narození rodičů, rodné příjmení rodičů, rodné číslo rodičů, datum narození rodičů, manžel, děti, svědci, datum narození, pohlaví, trvalé bydliště, datová schránka, místo narození, místo pobytu, státní příslušnost, stav, čísla a druhy elektronicky čitelných dokladů, podpis, rozsudek,</w:t>
            </w:r>
            <w:r w:rsidDel="00000000" w:rsidR="00000000" w:rsidRPr="00000000">
              <w:rPr>
                <w:rtl w:val="0"/>
              </w:rPr>
            </w:r>
          </w:p>
          <w:p w:rsidR="00000000" w:rsidDel="00000000" w:rsidP="00000000" w:rsidRDefault="00000000" w:rsidRPr="00000000" w14:paraId="00000015">
            <w:pPr>
              <w:widowControl w:val="0"/>
              <w:spacing w:after="0" w:before="0" w:line="240" w:lineRule="auto"/>
              <w:rPr/>
            </w:pP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6">
            <w:pPr>
              <w:spacing w:after="60" w:before="60" w:line="240" w:lineRule="auto"/>
              <w:jc w:val="left"/>
              <w:rPr/>
            </w:pPr>
            <w:r w:rsidDel="00000000" w:rsidR="00000000" w:rsidRPr="00000000">
              <w:rPr>
                <w:b w:val="1"/>
                <w:color w:val="000000"/>
                <w:rtl w:val="0"/>
              </w:rPr>
              <w:t xml:space="preserve">IV. Kategorie příjemců (zpřístupnění)</w:t>
            </w:r>
            <w:r w:rsidDel="00000000" w:rsidR="00000000" w:rsidRPr="00000000">
              <w:rPr>
                <w:rtl w:val="0"/>
              </w:rPr>
            </w:r>
          </w:p>
        </w:tc>
      </w:tr>
      <w:tr>
        <w:trPr>
          <w:trHeight w:val="79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7">
            <w:pPr>
              <w:spacing w:after="60" w:before="60" w:line="240" w:lineRule="auto"/>
              <w:rPr/>
            </w:pP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8">
            <w:pPr>
              <w:spacing w:after="60" w:before="60" w:line="240" w:lineRule="auto"/>
              <w:rPr/>
            </w:pPr>
            <w:r w:rsidDel="00000000" w:rsidR="00000000" w:rsidRPr="00000000">
              <w:rPr>
                <w:b w:val="1"/>
                <w:rtl w:val="0"/>
              </w:rPr>
              <w:t xml:space="preserve">V. Plánované lhůty pro výmaz kategorií osobních údajů (doba uložení)</w:t>
            </w:r>
            <w:r w:rsidDel="00000000" w:rsidR="00000000" w:rsidRPr="00000000">
              <w:rPr>
                <w:rtl w:val="0"/>
              </w:rPr>
            </w:r>
          </w:p>
        </w:tc>
      </w:tr>
      <w:tr>
        <w:trPr>
          <w:trHeight w:val="79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9">
            <w:pPr>
              <w:widowControl w:val="0"/>
              <w:spacing w:after="0" w:before="0" w:line="240" w:lineRule="auto"/>
              <w:rPr/>
            </w:pPr>
            <w:r w:rsidDel="00000000" w:rsidR="00000000" w:rsidRPr="00000000">
              <w:rPr>
                <w:b w:val="0"/>
                <w:i w:val="0"/>
                <w:strike w:val="0"/>
                <w:color w:val="000000"/>
                <w:sz w:val="20"/>
                <w:szCs w:val="20"/>
                <w:u w:val="none"/>
                <w:rtl w:val="0"/>
              </w:rPr>
              <w:t xml:space="preserve">607  Matriční záležitosti  </w:t>
            </w:r>
            <w:r w:rsidDel="00000000" w:rsidR="00000000" w:rsidRPr="00000000">
              <w:rPr>
                <w:rtl w:val="0"/>
              </w:rPr>
            </w:r>
          </w:p>
          <w:p w:rsidR="00000000" w:rsidDel="00000000" w:rsidP="00000000" w:rsidRDefault="00000000" w:rsidRPr="00000000" w14:paraId="0000001A">
            <w:pPr>
              <w:jc w:val="left"/>
              <w:rPr/>
            </w:pPr>
            <w:r w:rsidDel="00000000" w:rsidR="00000000" w:rsidRPr="00000000">
              <w:rPr>
                <w:b w:val="0"/>
                <w:i w:val="0"/>
                <w:strike w:val="0"/>
                <w:color w:val="000000"/>
                <w:sz w:val="20"/>
                <w:szCs w:val="20"/>
                <w:u w:val="none"/>
                <w:rtl w:val="0"/>
              </w:rPr>
              <w:t xml:space="preserve">607.1  Matriky a sbírky listin  </w:t>
            </w:r>
            <w:r w:rsidDel="00000000" w:rsidR="00000000" w:rsidRPr="00000000">
              <w:rPr>
                <w:rtl w:val="0"/>
              </w:rPr>
            </w:r>
          </w:p>
          <w:p w:rsidR="00000000" w:rsidDel="00000000" w:rsidP="00000000" w:rsidRDefault="00000000" w:rsidRPr="00000000" w14:paraId="0000001B">
            <w:pPr>
              <w:jc w:val="left"/>
              <w:rPr/>
            </w:pPr>
            <w:r w:rsidDel="00000000" w:rsidR="00000000" w:rsidRPr="00000000">
              <w:rPr>
                <w:b w:val="0"/>
                <w:i w:val="0"/>
                <w:strike w:val="0"/>
                <w:color w:val="000000"/>
                <w:sz w:val="20"/>
                <w:szCs w:val="20"/>
                <w:u w:val="none"/>
                <w:rtl w:val="0"/>
              </w:rPr>
              <w:t xml:space="preserve">607.1.1  Narození A100</w:t>
            </w:r>
            <w:r w:rsidDel="00000000" w:rsidR="00000000" w:rsidRPr="00000000">
              <w:rPr>
                <w:rtl w:val="0"/>
              </w:rPr>
            </w:r>
          </w:p>
          <w:p w:rsidR="00000000" w:rsidDel="00000000" w:rsidP="00000000" w:rsidRDefault="00000000" w:rsidRPr="00000000" w14:paraId="0000001C">
            <w:pPr>
              <w:jc w:val="left"/>
              <w:rPr/>
            </w:pPr>
            <w:r w:rsidDel="00000000" w:rsidR="00000000" w:rsidRPr="00000000">
              <w:rPr>
                <w:b w:val="0"/>
                <w:i w:val="0"/>
                <w:strike w:val="0"/>
                <w:color w:val="000000"/>
                <w:sz w:val="20"/>
                <w:szCs w:val="20"/>
                <w:u w:val="none"/>
                <w:rtl w:val="0"/>
              </w:rPr>
              <w:t xml:space="preserve">607.1.2  Manželství A75</w:t>
            </w:r>
            <w:r w:rsidDel="00000000" w:rsidR="00000000" w:rsidRPr="00000000">
              <w:rPr>
                <w:rtl w:val="0"/>
              </w:rPr>
            </w:r>
          </w:p>
          <w:p w:rsidR="00000000" w:rsidDel="00000000" w:rsidP="00000000" w:rsidRDefault="00000000" w:rsidRPr="00000000" w14:paraId="0000001D">
            <w:pPr>
              <w:jc w:val="left"/>
              <w:rPr/>
            </w:pPr>
            <w:r w:rsidDel="00000000" w:rsidR="00000000" w:rsidRPr="00000000">
              <w:rPr>
                <w:b w:val="0"/>
                <w:i w:val="0"/>
                <w:strike w:val="0"/>
                <w:color w:val="000000"/>
                <w:sz w:val="20"/>
                <w:szCs w:val="20"/>
                <w:u w:val="none"/>
                <w:rtl w:val="0"/>
              </w:rPr>
              <w:t xml:space="preserve">607.1.3  Úmrtí   A75</w:t>
            </w:r>
            <w:r w:rsidDel="00000000" w:rsidR="00000000" w:rsidRPr="00000000">
              <w:rPr>
                <w:rtl w:val="0"/>
              </w:rPr>
            </w:r>
          </w:p>
          <w:p w:rsidR="00000000" w:rsidDel="00000000" w:rsidP="00000000" w:rsidRDefault="00000000" w:rsidRPr="00000000" w14:paraId="0000001E">
            <w:pPr>
              <w:jc w:val="left"/>
              <w:rPr/>
            </w:pPr>
            <w:r w:rsidDel="00000000" w:rsidR="00000000" w:rsidRPr="00000000">
              <w:rPr>
                <w:b w:val="0"/>
                <w:i w:val="0"/>
                <w:strike w:val="0"/>
                <w:color w:val="000000"/>
                <w:sz w:val="20"/>
                <w:szCs w:val="20"/>
                <w:u w:val="none"/>
                <w:rtl w:val="0"/>
              </w:rPr>
              <w:t xml:space="preserve">607.1.4  Opisy matričních dokladů, výpisy z matrik S3</w:t>
            </w:r>
            <w:r w:rsidDel="00000000" w:rsidR="00000000" w:rsidRPr="00000000">
              <w:rPr>
                <w:rtl w:val="0"/>
              </w:rPr>
            </w:r>
          </w:p>
          <w:p w:rsidR="00000000" w:rsidDel="00000000" w:rsidP="00000000" w:rsidRDefault="00000000" w:rsidRPr="00000000" w14:paraId="0000001F">
            <w:pPr>
              <w:jc w:val="left"/>
              <w:rPr/>
            </w:pPr>
            <w:r w:rsidDel="00000000" w:rsidR="00000000" w:rsidRPr="00000000">
              <w:rPr>
                <w:b w:val="0"/>
                <w:i w:val="0"/>
                <w:strike w:val="0"/>
                <w:color w:val="000000"/>
                <w:sz w:val="20"/>
                <w:szCs w:val="20"/>
                <w:u w:val="none"/>
                <w:rtl w:val="0"/>
              </w:rPr>
              <w:t xml:space="preserve">607.1.5  Oznámení pro zápisy do zvláštních matrik S3</w:t>
            </w:r>
            <w:r w:rsidDel="00000000" w:rsidR="00000000" w:rsidRPr="00000000">
              <w:rPr>
                <w:rtl w:val="0"/>
              </w:rPr>
            </w:r>
          </w:p>
          <w:p w:rsidR="00000000" w:rsidDel="00000000" w:rsidP="00000000" w:rsidRDefault="00000000" w:rsidRPr="00000000" w14:paraId="00000020">
            <w:pPr>
              <w:jc w:val="left"/>
              <w:rPr/>
            </w:pPr>
            <w:r w:rsidDel="00000000" w:rsidR="00000000" w:rsidRPr="00000000">
              <w:rPr>
                <w:b w:val="0"/>
                <w:i w:val="0"/>
                <w:strike w:val="0"/>
                <w:color w:val="000000"/>
                <w:sz w:val="20"/>
                <w:szCs w:val="20"/>
                <w:u w:val="none"/>
                <w:rtl w:val="0"/>
              </w:rPr>
              <w:t xml:space="preserve">607.1.6  Potvrzení z matriční knihy nebo sbírky listin S3</w:t>
            </w:r>
            <w:r w:rsidDel="00000000" w:rsidR="00000000" w:rsidRPr="00000000">
              <w:rPr>
                <w:rtl w:val="0"/>
              </w:rPr>
            </w:r>
          </w:p>
          <w:p w:rsidR="00000000" w:rsidDel="00000000" w:rsidP="00000000" w:rsidRDefault="00000000" w:rsidRPr="00000000" w14:paraId="00000021">
            <w:pPr>
              <w:jc w:val="left"/>
              <w:rPr/>
            </w:pPr>
            <w:r w:rsidDel="00000000" w:rsidR="00000000" w:rsidRPr="00000000">
              <w:rPr>
                <w:b w:val="0"/>
                <w:i w:val="0"/>
                <w:strike w:val="0"/>
                <w:color w:val="000000"/>
                <w:sz w:val="20"/>
                <w:szCs w:val="20"/>
                <w:u w:val="none"/>
                <w:rtl w:val="0"/>
              </w:rPr>
              <w:t xml:space="preserve">607.1.7  Vidimace, legalizace - ověřovací kniha    S10</w:t>
            </w:r>
            <w:r w:rsidDel="00000000" w:rsidR="00000000" w:rsidRPr="00000000">
              <w:rPr>
                <w:rtl w:val="0"/>
              </w:rPr>
            </w:r>
          </w:p>
          <w:p w:rsidR="00000000" w:rsidDel="00000000" w:rsidP="00000000" w:rsidRDefault="00000000" w:rsidRPr="00000000" w14:paraId="00000022">
            <w:pPr>
              <w:jc w:val="left"/>
              <w:rPr/>
            </w:pPr>
            <w:r w:rsidDel="00000000" w:rsidR="00000000" w:rsidRPr="00000000">
              <w:rPr>
                <w:b w:val="0"/>
                <w:i w:val="0"/>
                <w:strike w:val="0"/>
                <w:color w:val="000000"/>
                <w:sz w:val="20"/>
                <w:szCs w:val="20"/>
                <w:u w:val="none"/>
                <w:rtl w:val="0"/>
              </w:rPr>
              <w:t xml:space="preserve">607.2  Matriční doklady do ciziny S3</w:t>
            </w:r>
            <w:r w:rsidDel="00000000" w:rsidR="00000000" w:rsidRPr="00000000">
              <w:rPr>
                <w:rtl w:val="0"/>
              </w:rPr>
            </w:r>
          </w:p>
          <w:p w:rsidR="00000000" w:rsidDel="00000000" w:rsidP="00000000" w:rsidRDefault="00000000" w:rsidRPr="00000000" w14:paraId="00000023">
            <w:pPr>
              <w:jc w:val="left"/>
              <w:rPr/>
            </w:pPr>
            <w:r w:rsidDel="00000000" w:rsidR="00000000" w:rsidRPr="00000000">
              <w:rPr>
                <w:b w:val="0"/>
                <w:i w:val="0"/>
                <w:strike w:val="0"/>
                <w:color w:val="000000"/>
                <w:sz w:val="20"/>
                <w:szCs w:val="20"/>
                <w:u w:val="none"/>
                <w:rtl w:val="0"/>
              </w:rPr>
              <w:t xml:space="preserve">607.3  Osvědčování způsobilosti k uzavření manželství    S3</w:t>
            </w:r>
            <w:r w:rsidDel="00000000" w:rsidR="00000000" w:rsidRPr="00000000">
              <w:rPr>
                <w:rtl w:val="0"/>
              </w:rPr>
            </w:r>
          </w:p>
          <w:p w:rsidR="00000000" w:rsidDel="00000000" w:rsidP="00000000" w:rsidRDefault="00000000" w:rsidRPr="00000000" w14:paraId="00000024">
            <w:pPr>
              <w:jc w:val="left"/>
              <w:rPr/>
            </w:pPr>
            <w:r w:rsidDel="00000000" w:rsidR="00000000" w:rsidRPr="00000000">
              <w:rPr>
                <w:b w:val="0"/>
                <w:i w:val="0"/>
                <w:strike w:val="0"/>
                <w:color w:val="000000"/>
                <w:sz w:val="20"/>
                <w:szCs w:val="20"/>
                <w:u w:val="none"/>
                <w:rtl w:val="0"/>
              </w:rPr>
              <w:t xml:space="preserve">607.4  Rozhodování v matričních věcech    V5</w:t>
            </w:r>
            <w:r w:rsidDel="00000000" w:rsidR="00000000" w:rsidRPr="00000000">
              <w:rPr>
                <w:rtl w:val="0"/>
              </w:rPr>
            </w:r>
          </w:p>
          <w:p w:rsidR="00000000" w:rsidDel="00000000" w:rsidP="00000000" w:rsidRDefault="00000000" w:rsidRPr="00000000" w14:paraId="00000025">
            <w:pPr>
              <w:jc w:val="left"/>
              <w:rPr/>
            </w:pPr>
            <w:r w:rsidDel="00000000" w:rsidR="00000000" w:rsidRPr="00000000">
              <w:rPr>
                <w:b w:val="0"/>
                <w:i w:val="0"/>
                <w:strike w:val="0"/>
                <w:color w:val="000000"/>
                <w:sz w:val="20"/>
                <w:szCs w:val="20"/>
                <w:u w:val="none"/>
                <w:rtl w:val="0"/>
              </w:rPr>
              <w:t xml:space="preserve">607.5  Dozor a kontrola vedení matrik    V5</w:t>
            </w:r>
            <w:r w:rsidDel="00000000" w:rsidR="00000000" w:rsidRPr="00000000">
              <w:rPr>
                <w:rtl w:val="0"/>
              </w:rPr>
            </w:r>
          </w:p>
          <w:p w:rsidR="00000000" w:rsidDel="00000000" w:rsidP="00000000" w:rsidRDefault="00000000" w:rsidRPr="00000000" w14:paraId="00000026">
            <w:pPr>
              <w:jc w:val="left"/>
              <w:rPr/>
            </w:pPr>
            <w:r w:rsidDel="00000000" w:rsidR="00000000" w:rsidRPr="00000000">
              <w:rPr>
                <w:b w:val="0"/>
                <w:i w:val="0"/>
                <w:strike w:val="0"/>
                <w:color w:val="000000"/>
                <w:sz w:val="20"/>
                <w:szCs w:val="20"/>
                <w:u w:val="none"/>
                <w:rtl w:val="0"/>
              </w:rPr>
              <w:t xml:space="preserve">607.6  Záležitosti matrikářů a matriční obvody    V5</w:t>
            </w:r>
            <w:r w:rsidDel="00000000" w:rsidR="00000000" w:rsidRPr="00000000">
              <w:rPr>
                <w:rtl w:val="0"/>
              </w:rPr>
            </w:r>
          </w:p>
          <w:p w:rsidR="00000000" w:rsidDel="00000000" w:rsidP="00000000" w:rsidRDefault="00000000" w:rsidRPr="00000000" w14:paraId="00000027">
            <w:pPr>
              <w:jc w:val="left"/>
              <w:rPr/>
            </w:pPr>
            <w:r w:rsidDel="00000000" w:rsidR="00000000" w:rsidRPr="00000000">
              <w:rPr>
                <w:b w:val="0"/>
                <w:i w:val="0"/>
                <w:strike w:val="0"/>
                <w:color w:val="000000"/>
                <w:sz w:val="20"/>
                <w:szCs w:val="20"/>
                <w:u w:val="none"/>
                <w:rtl w:val="0"/>
              </w:rPr>
              <w:t xml:space="preserve">608  Změna jména a příjmení  A20</w:t>
            </w:r>
            <w:r w:rsidDel="00000000" w:rsidR="00000000" w:rsidRPr="00000000">
              <w:rPr>
                <w:rtl w:val="0"/>
              </w:rPr>
            </w:r>
          </w:p>
          <w:p w:rsidR="00000000" w:rsidDel="00000000" w:rsidP="00000000" w:rsidRDefault="00000000" w:rsidRPr="00000000" w14:paraId="00000028">
            <w:pPr>
              <w:widowControl w:val="0"/>
              <w:spacing w:after="0" w:before="0" w:line="240" w:lineRule="auto"/>
              <w:rPr/>
            </w:pP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29">
            <w:pPr>
              <w:spacing w:after="60" w:before="60" w:line="240" w:lineRule="auto"/>
              <w:rPr>
                <w:b w:val="1"/>
              </w:rPr>
            </w:pPr>
            <w:r w:rsidDel="00000000" w:rsidR="00000000" w:rsidRPr="00000000">
              <w:rPr>
                <w:b w:val="1"/>
                <w:rtl w:val="0"/>
              </w:rPr>
              <w:t xml:space="preserve">VI. Obecný popis technických a organizačních bezpečnostních opatření</w:t>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2A">
            <w:pPr>
              <w:spacing w:after="60" w:before="60" w:line="240" w:lineRule="auto"/>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pgSz w:h="16838" w:w="11906" w:orient="portrait"/>
      <w:pgMar w:bottom="1417" w:top="56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cs-CZ"/>
      </w:rPr>
    </w:rPrDefault>
    <w:pPrDefault>
      <w:pPr>
        <w:spacing w:before="20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5.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