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Kácení stromů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Správní rozhodování – kácení dřevin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sz w:val="20"/>
                <w:szCs w:val="20"/>
                <w:u w:val="none"/>
                <w:rtl w:val="0"/>
              </w:rPr>
              <w:t xml:space="preserve">114/1992 Sb., - Zákon o ochraně přírody a krajiny,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sz w:val="20"/>
                <w:szCs w:val="20"/>
                <w:u w:val="none"/>
                <w:rtl w:val="0"/>
              </w:rPr>
              <w:t xml:space="preserve">Vyhláška č. 175/2006, kterou se provádějí některá ustanovení zákona o ochraně přírody a krajiny,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Žadatelé, účastníci řízení, právní zástupci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rodné číslo, trvalé bydliště, datová schránka,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Zaměstnanci úřadu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sz w:val="20"/>
                <w:szCs w:val="20"/>
                <w:u w:val="none"/>
                <w:rtl w:val="0"/>
              </w:rPr>
              <w:t xml:space="preserve"> Kácení dřevin rostoucích mimo les V/5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Listinná podoba –  v kanceláři úřadu do uzamčených skříní, poté uloženy v uzamčené centrální spisovně OÚ a následně dle Skartač. a spis. řádu. V elektronické podobě jsou vedeny v systému MUNIS-kancelář  a ve Wordu na PC OÚ.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Zabezpečení – heslo do MUNISu,heslo do PC.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