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Hřbitovní poplatky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Hřbitov – uzavírání smluv o nájmu hrobového místa, součinnost - advokáti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8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</w:t>
            </w:r>
            <w:r w:rsidDel="00000000" w:rsidR="00000000" w:rsidRPr="00000000">
              <w:rPr>
                <w:b w:val="0"/>
                <w:i w:val="0"/>
                <w:strike w:val="0"/>
                <w:sz w:val="20"/>
                <w:szCs w:val="20"/>
                <w:u w:val="none"/>
                <w:rtl w:val="0"/>
              </w:rPr>
              <w:t xml:space="preserve">256/2001 Sb., - Zákon o pohřebnictví,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8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sz w:val="20"/>
                <w:szCs w:val="20"/>
                <w:u w:val="none"/>
                <w:rtl w:val="0"/>
              </w:rPr>
              <w:t xml:space="preserve">128/2000 Sb., - Zákon o obcích,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Zájemci o pronájem hrobového místa, nájemci hrobových míst, žadatelé o změny/ uložení/přemístění ostatků, úprava pomníku, výpovědi smluv.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rodné číslo, trvalé bydliště, číslo hrobu, podpis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Účetní – roční předpis, odpisy poplatků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Účetní – inventurní soupis nedoplatků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Advokáti  - součinnost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260 Pohřebnictví, evidence hrobů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260.1 Pohřebnictví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260.2 Evidence hrobů    A5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Uzamykatelná skříň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Aplikace Word a Excel, program Hřbitov od fy TRIADA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