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Dozory na chodbách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Správce: …………………………………….( obec, adresa,)</w:t>
              <w:br w:type="textWrapping"/>
              <w:t xml:space="preserve">Pověřenec pro ochranu osobních údajů: 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Dozor a zamykání školy</w:t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Vyhláška č. </w:t>
            </w:r>
            <w:bookmarkStart w:colFirst="0" w:colLast="0" w:name="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rtl w:val="0"/>
              </w:rPr>
              <w:t xml:space="preserve">71/2005 Sb.</w:t>
            </w:r>
            <w:r w:rsidDel="00000000" w:rsidR="00000000" w:rsidRPr="00000000">
              <w:rPr>
                <w:rtl w:val="0"/>
              </w:rPr>
              <w:t xml:space="preserve"> o ZUŠ 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učitelé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Jméno, </w:t>
            </w:r>
            <w:r w:rsidDel="00000000" w:rsidR="00000000" w:rsidRPr="00000000">
              <w:rPr>
                <w:color w:val="00000a"/>
                <w:rtl w:val="0"/>
              </w:rPr>
              <w:t xml:space="preserve">příjmení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Řediteli, hospodářce, učitelům na vyžádání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  <w:t xml:space="preserve">Pouze po dobu příslušného školního roku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